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45D" w:rsidRDefault="00E3345D" w:rsidP="00230A90">
      <w:pPr>
        <w:pStyle w:val="Title"/>
      </w:pPr>
      <w:r w:rsidRPr="00217C10">
        <w:t>Irish Human Rights And Equality Commission</w:t>
      </w:r>
      <w:r w:rsidR="00230A90">
        <w:t xml:space="preserve"> </w:t>
      </w:r>
      <w:r w:rsidRPr="00217C10">
        <w:t>Specialist Equality Law Panel</w:t>
      </w:r>
      <w:r>
        <w:t xml:space="preserve"> </w:t>
      </w:r>
    </w:p>
    <w:p w:rsidR="006120F5" w:rsidRDefault="006120F5" w:rsidP="00442667">
      <w:pPr>
        <w:pStyle w:val="Title"/>
      </w:pPr>
    </w:p>
    <w:p w:rsidR="00E3345D" w:rsidRPr="00BF2C62" w:rsidRDefault="00E3345D" w:rsidP="006120F5">
      <w:pPr>
        <w:pStyle w:val="Title"/>
      </w:pPr>
      <w:r w:rsidRPr="00217C10">
        <w:t xml:space="preserve">Information Note </w:t>
      </w:r>
      <w:r>
        <w:t>on the Invitation for Expressions of Interest f</w:t>
      </w:r>
      <w:r w:rsidRPr="00217C10">
        <w:t>rom Counsel</w:t>
      </w:r>
    </w:p>
    <w:p w:rsidR="00E3345D" w:rsidRDefault="00E3345D" w:rsidP="00442667">
      <w:pPr>
        <w:rPr>
          <w:rFonts w:cstheme="minorBidi"/>
          <w:noProof w:val="0"/>
          <w:lang w:val="en-IE"/>
        </w:rPr>
      </w:pPr>
      <w:r>
        <w:br w:type="page"/>
      </w:r>
    </w:p>
    <w:p w:rsidR="00E3345D" w:rsidRPr="00BF2C62" w:rsidRDefault="00E3345D" w:rsidP="00442667">
      <w:pPr>
        <w:pStyle w:val="Heading1"/>
      </w:pPr>
      <w:r w:rsidRPr="00BF2C62">
        <w:lastRenderedPageBreak/>
        <w:t>Section 1: Background</w:t>
      </w:r>
    </w:p>
    <w:p w:rsidR="00E3345D" w:rsidRPr="00145224" w:rsidRDefault="00E3345D" w:rsidP="00442667">
      <w:pPr>
        <w:pStyle w:val="Heading2"/>
      </w:pPr>
      <w:r>
        <w:t>The Irish Human Rights and</w:t>
      </w:r>
      <w:r w:rsidRPr="00145224">
        <w:t xml:space="preserve"> Equality Commission </w:t>
      </w:r>
    </w:p>
    <w:p w:rsidR="00E3345D" w:rsidRPr="00442667" w:rsidRDefault="006120F5" w:rsidP="00442667">
      <w:r>
        <w:t>The Irish Human Rights and</w:t>
      </w:r>
      <w:r w:rsidR="00E3345D" w:rsidRPr="00442667">
        <w:t xml:space="preserve"> Equality Commission (‘IHREC’) is an independent statutory body established under the Irish Human Rights and Equality Commission Act 2014 (the ‘IHREC Act’). IHREC merged the mandates of two legacy organisations, the Irish Human Rights Commission and the Equality Authority. It is Ireland’s National Equality Body and National Human Rights Institution.  </w:t>
      </w:r>
    </w:p>
    <w:p w:rsidR="008B556F" w:rsidRDefault="00E3345D" w:rsidP="00442667">
      <w:r>
        <w:t>IHREC’s statutory mandate, as outlined in the IHREC Act, is to protect and promote human rights and equality in Ireland and to encourage the development of a culture of respect for human rights, equality and intercultural unders</w:t>
      </w:r>
      <w:r w:rsidR="008B556F">
        <w:t>tanding across Irish society.</w:t>
      </w:r>
    </w:p>
    <w:p w:rsidR="00E3345D" w:rsidRDefault="00E3345D" w:rsidP="00442667">
      <w:r>
        <w:t xml:space="preserve">Section 10(1) provides that the overall general functions of IHREC shall be: </w:t>
      </w:r>
    </w:p>
    <w:p w:rsidR="00E3345D" w:rsidRPr="00E3345D" w:rsidRDefault="00E3345D" w:rsidP="00442667">
      <w:pPr>
        <w:pStyle w:val="LetteredBullets"/>
      </w:pPr>
      <w:r w:rsidRPr="00E3345D">
        <w:t xml:space="preserve">to protect and promote human rights and equality;  </w:t>
      </w:r>
    </w:p>
    <w:p w:rsidR="00E3345D" w:rsidRPr="00E3345D" w:rsidRDefault="00E3345D" w:rsidP="00442667">
      <w:pPr>
        <w:pStyle w:val="LetteredBullets"/>
      </w:pPr>
      <w:r w:rsidRPr="00E3345D">
        <w:t xml:space="preserve">to encourage the development of a culture of respect for human rights, equality, and intercultural understanding in the State;  </w:t>
      </w:r>
    </w:p>
    <w:p w:rsidR="00E3345D" w:rsidRPr="00E3345D" w:rsidRDefault="00E3345D" w:rsidP="00442667">
      <w:pPr>
        <w:pStyle w:val="LetteredBullets"/>
      </w:pPr>
      <w:r w:rsidRPr="00E3345D">
        <w:t>to promote understanding and awareness of the importance of human rights and equality in the State;</w:t>
      </w:r>
    </w:p>
    <w:p w:rsidR="00E3345D" w:rsidRPr="00E3345D" w:rsidRDefault="00E3345D" w:rsidP="00442667">
      <w:pPr>
        <w:pStyle w:val="LetteredBullets"/>
      </w:pPr>
      <w:r w:rsidRPr="00E3345D">
        <w:t xml:space="preserve">to encourage </w:t>
      </w:r>
      <w:r w:rsidR="006A53E6">
        <w:t xml:space="preserve">good practice in intercultural </w:t>
      </w:r>
      <w:r w:rsidRPr="00E3345D">
        <w:t>relations, to promote tolerance and acceptance of diversity in the State and respect for the freedom and dignity of each person; and</w:t>
      </w:r>
    </w:p>
    <w:p w:rsidR="00E3345D" w:rsidRDefault="00E3345D" w:rsidP="00442667">
      <w:pPr>
        <w:pStyle w:val="LetteredBullets"/>
      </w:pPr>
      <w:r>
        <w:t xml:space="preserve">to work towards the elimination of human rights abuses, discrimination and prohibited conduct. </w:t>
      </w:r>
    </w:p>
    <w:p w:rsidR="00E3345D" w:rsidRDefault="00E3345D" w:rsidP="00442667">
      <w:r>
        <w:t>In furtherance of the functions referred to in section 10(1), IHREC has a number of functio</w:t>
      </w:r>
      <w:r w:rsidR="008B556F">
        <w:t>ns  set down in section 10(2):</w:t>
      </w:r>
    </w:p>
    <w:p w:rsidR="00E3345D" w:rsidRDefault="00E3345D" w:rsidP="00442667">
      <w:pPr>
        <w:pStyle w:val="LetteredBullets"/>
        <w:numPr>
          <w:ilvl w:val="0"/>
          <w:numId w:val="10"/>
        </w:numPr>
      </w:pPr>
      <w:r>
        <w:lastRenderedPageBreak/>
        <w:t xml:space="preserve">to provide information to the public in relation to human rights and equality generally including information in respect of the enactments to which section 30 </w:t>
      </w:r>
      <w:r w:rsidR="008B556F">
        <w:t>refers;</w:t>
      </w:r>
    </w:p>
    <w:p w:rsidR="00E3345D" w:rsidRDefault="00E3345D" w:rsidP="00442667">
      <w:pPr>
        <w:pStyle w:val="LetteredBullets"/>
      </w:pPr>
      <w:r>
        <w:t xml:space="preserve">to keep under review the adequacy and effectiveness of law and practice in the State relating to the protection of human rights and equality;   </w:t>
      </w:r>
    </w:p>
    <w:p w:rsidR="00E3345D" w:rsidRDefault="00E3345D" w:rsidP="00442667">
      <w:pPr>
        <w:pStyle w:val="LetteredBullets"/>
      </w:pPr>
      <w:r>
        <w:t xml:space="preserve">either of its own volition or on being so requested by a Minister of the Government, to examine any legislative proposal and report its views on any implications </w:t>
      </w:r>
      <w:r w:rsidR="008B556F">
        <w:t>for human rights or equality;</w:t>
      </w:r>
    </w:p>
    <w:p w:rsidR="00E3345D" w:rsidRDefault="00E3345D" w:rsidP="00442667">
      <w:pPr>
        <w:pStyle w:val="LetteredBullets"/>
      </w:pPr>
      <w:r>
        <w:t>either of its own volition or on being so requested by the Government, to make such recommendations to the Government as it deems appropriate in relation to the measures which the</w:t>
      </w:r>
      <w:r w:rsidR="006A53E6">
        <w:t xml:space="preserve"> Commission </w:t>
      </w:r>
      <w:r>
        <w:t xml:space="preserve">considers </w:t>
      </w:r>
      <w:r w:rsidR="006A53E6">
        <w:t>should be</w:t>
      </w:r>
      <w:r>
        <w:t xml:space="preserve"> taken </w:t>
      </w:r>
      <w:r w:rsidR="006A53E6">
        <w:t>to</w:t>
      </w:r>
      <w:r>
        <w:t xml:space="preserve"> strengthen, protect and uphold human righ</w:t>
      </w:r>
      <w:r w:rsidR="008B556F">
        <w:t>ts and equality in the State;</w:t>
      </w:r>
    </w:p>
    <w:p w:rsidR="00E3345D" w:rsidRDefault="00E3345D" w:rsidP="00442667">
      <w:pPr>
        <w:pStyle w:val="LetteredBullets"/>
      </w:pPr>
      <w:r>
        <w:t xml:space="preserve">to apply to the [Superior Courts] for liberty to appear as </w:t>
      </w:r>
      <w:r w:rsidRPr="00370EC1">
        <w:rPr>
          <w:i/>
        </w:rPr>
        <w:t>amicus curiae</w:t>
      </w:r>
      <w:r>
        <w:t xml:space="preserve"> in proceedings before that court that involve or are concerned with the human rights or equality rights of any person and to appear as such an </w:t>
      </w:r>
      <w:r w:rsidRPr="006A53E6">
        <w:rPr>
          <w:i/>
        </w:rPr>
        <w:t>amicus curiae</w:t>
      </w:r>
      <w:r>
        <w:t xml:space="preserve"> on foot of such liberty being granted (which liberty each of the said courts is hereby empowered to grant in its absolute discretion);</w:t>
      </w:r>
    </w:p>
    <w:p w:rsidR="00E3345D" w:rsidRDefault="008B556F" w:rsidP="00442667">
      <w:pPr>
        <w:pStyle w:val="LetteredBullets"/>
      </w:pPr>
      <w:r>
        <w:t>t</w:t>
      </w:r>
      <w:r w:rsidR="00E3345D">
        <w:t>o provide such practical assistance, including legal assistance, to persons in  vindicating their rights as it sees fit i</w:t>
      </w:r>
      <w:r>
        <w:t>n accordance with section 40;</w:t>
      </w:r>
    </w:p>
    <w:p w:rsidR="00E3345D" w:rsidRDefault="00E3345D" w:rsidP="00442667">
      <w:pPr>
        <w:pStyle w:val="LetteredBullets"/>
      </w:pPr>
      <w:r>
        <w:t>where it sees fit, to institute proceedings under section 41 or section 19 of the Act of</w:t>
      </w:r>
      <w:r w:rsidR="008B556F">
        <w:t xml:space="preserve"> 2003, as may be appropriate;</w:t>
      </w:r>
    </w:p>
    <w:p w:rsidR="00E3345D" w:rsidRDefault="00E3345D" w:rsidP="00442667">
      <w:pPr>
        <w:pStyle w:val="LetteredBullets"/>
      </w:pPr>
      <w:r>
        <w:t>to consult with such national, European Union or international bodies or agencies having a knowledge or expertise in the field of human right</w:t>
      </w:r>
      <w:r w:rsidR="008B556F">
        <w:t>s or equality as it sees fit;</w:t>
      </w:r>
    </w:p>
    <w:p w:rsidR="00E3345D" w:rsidRDefault="00E3345D" w:rsidP="00442667">
      <w:pPr>
        <w:pStyle w:val="LetteredBullets"/>
      </w:pPr>
      <w:r>
        <w:t xml:space="preserve">to be the body designated for the purposes of Directive 2014/54/EU of the European Parliament and of the Council of 16 April 2014 on measures facilitating </w:t>
      </w:r>
      <w:r>
        <w:lastRenderedPageBreak/>
        <w:t>the exercise of rights conferred on workers in the context of freedom of movement for workers;</w:t>
      </w:r>
    </w:p>
    <w:p w:rsidR="00E3345D" w:rsidRDefault="00E3345D" w:rsidP="00442667">
      <w:pPr>
        <w:pStyle w:val="LetteredBullets"/>
      </w:pPr>
      <w:r>
        <w:t>to undertake, sponsor, commission or provide</w:t>
      </w:r>
      <w:r w:rsidR="006A53E6">
        <w:t xml:space="preserve"> financial or other assistance </w:t>
      </w:r>
      <w:r>
        <w:t>for researc</w:t>
      </w:r>
      <w:r w:rsidR="008B556F">
        <w:t>h and educational activities;</w:t>
      </w:r>
    </w:p>
    <w:p w:rsidR="00E3345D" w:rsidRDefault="00E3345D" w:rsidP="00442667">
      <w:pPr>
        <w:pStyle w:val="LetteredBullets"/>
      </w:pPr>
      <w:r>
        <w:t>to provide or assist in the provision of education and training on human r</w:t>
      </w:r>
      <w:r w:rsidR="008B556F">
        <w:t>ights and equality issues;</w:t>
      </w:r>
    </w:p>
    <w:p w:rsidR="00E3345D" w:rsidRDefault="00E3345D" w:rsidP="00442667">
      <w:pPr>
        <w:pStyle w:val="LetteredBullets"/>
      </w:pPr>
      <w:r>
        <w:t>either of its own volition or at the request of the Minister, to undertake, sponsor, commission, or provide financial or other assistance for programmes of activities and projects for the promotion of integration of migrants and other minorities, equality (including gender equality) and respect for diver</w:t>
      </w:r>
      <w:r w:rsidR="006A53E6">
        <w:t>sity and cultural difference;</w:t>
      </w:r>
    </w:p>
    <w:p w:rsidR="00E3345D" w:rsidRDefault="00E3345D" w:rsidP="00442667">
      <w:pPr>
        <w:pStyle w:val="LetteredBullets"/>
      </w:pPr>
      <w:r>
        <w:t>to carry out equality reviews and prepare equality action plans or to invite others to do so, where appropr</w:t>
      </w:r>
      <w:r w:rsidR="008B556F">
        <w:t>iate, pursuant to section 32;</w:t>
      </w:r>
    </w:p>
    <w:p w:rsidR="00E3345D" w:rsidRDefault="00E3345D" w:rsidP="00442667">
      <w:pPr>
        <w:pStyle w:val="LetteredBullets"/>
      </w:pPr>
      <w:r>
        <w:t>to assist public bodies i</w:t>
      </w:r>
      <w:r w:rsidR="008B556F">
        <w:t>n accordance with section 42;</w:t>
      </w:r>
    </w:p>
    <w:p w:rsidR="00E3345D" w:rsidRDefault="00E3345D" w:rsidP="00442667">
      <w:pPr>
        <w:pStyle w:val="LetteredBullets"/>
      </w:pPr>
      <w:r>
        <w:t>to conduct inquiries under and i</w:t>
      </w:r>
      <w:r w:rsidR="008B556F">
        <w:t>n accordance with section 35;</w:t>
      </w:r>
    </w:p>
    <w:p w:rsidR="00E3345D" w:rsidRDefault="00E3345D" w:rsidP="00442667">
      <w:pPr>
        <w:pStyle w:val="LetteredBullets"/>
      </w:pPr>
      <w:r>
        <w:t>to prepare and publish, in such manner as it sees fit, reports including reports on any research undertaken, sponsored, commissioned or assisted by it under paragraph (j) or in relation to inquiries referred to in paragraph (o);</w:t>
      </w:r>
    </w:p>
    <w:p w:rsidR="00E3345D" w:rsidRDefault="00E3345D" w:rsidP="00442667">
      <w:pPr>
        <w:pStyle w:val="LetteredBullets"/>
      </w:pPr>
      <w:r>
        <w:t>to participate in the Joint Committee with the Northern Ireland Human Rights in accordance with the Multi-Party Agreement annexed to the British-Irish Agreement (within the meaning of the British-Irish Agreement Act 1999);</w:t>
      </w:r>
      <w:r w:rsidR="008B556F">
        <w:t xml:space="preserve"> and</w:t>
      </w:r>
    </w:p>
    <w:p w:rsidR="00E3345D" w:rsidRPr="008B556F" w:rsidRDefault="00E3345D" w:rsidP="00442667">
      <w:pPr>
        <w:pStyle w:val="LetteredBullets"/>
      </w:pPr>
      <w:r>
        <w:t>to perform such other functions trans</w:t>
      </w:r>
      <w:r w:rsidR="008B556F">
        <w:t xml:space="preserve">ferred to it under section 44. </w:t>
      </w:r>
    </w:p>
    <w:p w:rsidR="008B556F" w:rsidRDefault="008B556F" w:rsidP="00442667">
      <w:r>
        <w:br w:type="page"/>
      </w:r>
    </w:p>
    <w:p w:rsidR="00E3345D" w:rsidRPr="00BF2C62" w:rsidRDefault="008B556F" w:rsidP="00442667">
      <w:pPr>
        <w:pStyle w:val="Heading1"/>
      </w:pPr>
      <w:r w:rsidRPr="00BF2C62">
        <w:lastRenderedPageBreak/>
        <w:t xml:space="preserve">Section 2: Establishment of </w:t>
      </w:r>
      <w:r>
        <w:t xml:space="preserve">a Specialist </w:t>
      </w:r>
      <w:r w:rsidRPr="00BF2C62">
        <w:t>Panel of Counsel for Equality Law Matters</w:t>
      </w:r>
    </w:p>
    <w:p w:rsidR="00E3345D" w:rsidRDefault="00E3345D" w:rsidP="006A53E6">
      <w:r w:rsidRPr="0054505C">
        <w:t xml:space="preserve">IHREC’s in-house solicitors brief counsel to provide legal advice and/or to appear on behalf of IHREC, as well as private individuals who are the recipients of legal assistance (advice and/or representation) pursuant to section 40 of the IHREC Act.  </w:t>
      </w:r>
    </w:p>
    <w:p w:rsidR="00E3345D" w:rsidRPr="0054505C" w:rsidRDefault="008B556F" w:rsidP="006A53E6">
      <w:r>
        <w:t>I</w:t>
      </w:r>
      <w:r w:rsidR="00E3345D" w:rsidRPr="0054505C">
        <w:t xml:space="preserve">n accordance with </w:t>
      </w:r>
      <w:r w:rsidR="00E3345D">
        <w:t>Government guidance</w:t>
      </w:r>
      <w:r w:rsidR="00E3345D">
        <w:rPr>
          <w:rStyle w:val="FootnoteReference"/>
        </w:rPr>
        <w:footnoteReference w:id="1"/>
      </w:r>
      <w:r w:rsidR="00E3345D">
        <w:t xml:space="preserve"> </w:t>
      </w:r>
      <w:r w:rsidR="00E3345D" w:rsidRPr="0054505C">
        <w:t xml:space="preserve">IHREC is establishing a </w:t>
      </w:r>
      <w:r w:rsidR="00E3345D" w:rsidRPr="0054505C">
        <w:rPr>
          <w:b/>
          <w:bCs/>
        </w:rPr>
        <w:t>Specialist Equality Law Panel</w:t>
      </w:r>
      <w:r w:rsidR="00E3345D" w:rsidRPr="0054505C">
        <w:t xml:space="preserve"> </w:t>
      </w:r>
      <w:r w:rsidR="00E3345D">
        <w:t>of suitably qualified barristers</w:t>
      </w:r>
      <w:r w:rsidR="00E3345D" w:rsidRPr="0054505C">
        <w:t xml:space="preserve"> with relevant experienc</w:t>
      </w:r>
      <w:r w:rsidR="00E3345D">
        <w:t>e and expertise in the area of e</w:t>
      </w:r>
      <w:r w:rsidR="00E3345D" w:rsidRPr="0054505C">
        <w:t xml:space="preserve">quality </w:t>
      </w:r>
      <w:r w:rsidR="00E3345D">
        <w:t>l</w:t>
      </w:r>
      <w:r w:rsidR="00E3345D" w:rsidRPr="0054505C">
        <w:t>aw</w:t>
      </w:r>
      <w:r w:rsidR="00E3345D">
        <w:t xml:space="preserve">, </w:t>
      </w:r>
      <w:r w:rsidR="00E3345D" w:rsidRPr="0054505C">
        <w:t xml:space="preserve">from which litigation and advisory </w:t>
      </w:r>
      <w:r w:rsidR="00E3345D">
        <w:t>briefs</w:t>
      </w:r>
      <w:r w:rsidR="00E3345D" w:rsidRPr="0054505C">
        <w:t xml:space="preserve"> will be awarded as and when needs arise</w:t>
      </w:r>
      <w:r w:rsidR="00E3345D">
        <w:t>, and</w:t>
      </w:r>
      <w:r w:rsidR="00E3345D" w:rsidRPr="0054505C">
        <w:t xml:space="preserve"> having regard to the following considerations: </w:t>
      </w:r>
    </w:p>
    <w:p w:rsidR="00E3345D" w:rsidRPr="0054505C" w:rsidRDefault="00E3345D" w:rsidP="00442667">
      <w:pPr>
        <w:pStyle w:val="LetteredBullets"/>
        <w:numPr>
          <w:ilvl w:val="0"/>
          <w:numId w:val="12"/>
        </w:numPr>
      </w:pPr>
      <w:r>
        <w:t>The nature of the work</w:t>
      </w:r>
      <w:r w:rsidRPr="0054505C">
        <w:t xml:space="preserve"> and the level of complexity,</w:t>
      </w:r>
      <w:r>
        <w:t xml:space="preserve"> </w:t>
      </w:r>
      <w:r w:rsidRPr="0054505C">
        <w:t xml:space="preserve">(e.g. whether litigation or advisory, whether Senior </w:t>
      </w:r>
      <w:r>
        <w:t>and/</w:t>
      </w:r>
      <w:r w:rsidRPr="0054505C">
        <w:t>or Junior</w:t>
      </w:r>
      <w:r>
        <w:t xml:space="preserve"> Counsel</w:t>
      </w:r>
      <w:r w:rsidRPr="0054505C">
        <w:t xml:space="preserve"> required</w:t>
      </w:r>
      <w:r>
        <w:t xml:space="preserve"> etc.</w:t>
      </w:r>
      <w:r w:rsidRPr="0054505C">
        <w:t>);</w:t>
      </w:r>
    </w:p>
    <w:p w:rsidR="00E3345D" w:rsidRPr="0054505C" w:rsidRDefault="00E3345D" w:rsidP="00442667">
      <w:pPr>
        <w:pStyle w:val="LetteredBullets"/>
      </w:pPr>
      <w:r w:rsidRPr="0054505C">
        <w:t xml:space="preserve">Relevant jurisdictional level (e.g. WRC, </w:t>
      </w:r>
      <w:r>
        <w:t>Labour Court</w:t>
      </w:r>
      <w:r w:rsidRPr="0054505C">
        <w:t>, District</w:t>
      </w:r>
      <w:r>
        <w:t xml:space="preserve"> Court</w:t>
      </w:r>
      <w:r w:rsidRPr="0054505C">
        <w:t xml:space="preserve">, Circuit </w:t>
      </w:r>
      <w:r>
        <w:t xml:space="preserve">Court, Superior Courts, CJEU, or </w:t>
      </w:r>
      <w:r w:rsidRPr="0054505C">
        <w:t>EC</w:t>
      </w:r>
      <w:r>
        <w:t>t</w:t>
      </w:r>
      <w:r w:rsidRPr="0054505C">
        <w:t>HR etc</w:t>
      </w:r>
      <w:r>
        <w:t>.</w:t>
      </w:r>
      <w:r w:rsidRPr="0054505C">
        <w:t>)</w:t>
      </w:r>
      <w:r>
        <w:t>;</w:t>
      </w:r>
      <w:r w:rsidRPr="0054505C">
        <w:t xml:space="preserve"> </w:t>
      </w:r>
    </w:p>
    <w:p w:rsidR="00E3345D" w:rsidRPr="0054505C" w:rsidRDefault="00E3345D" w:rsidP="00442667">
      <w:pPr>
        <w:pStyle w:val="LetteredBullets"/>
      </w:pPr>
      <w:r w:rsidRPr="0054505C">
        <w:t xml:space="preserve">Required area of specialisation or expertise; </w:t>
      </w:r>
    </w:p>
    <w:p w:rsidR="00E3345D" w:rsidRPr="0054505C" w:rsidRDefault="00E3345D" w:rsidP="00442667">
      <w:pPr>
        <w:pStyle w:val="LetteredBullets"/>
      </w:pPr>
      <w:r w:rsidRPr="0054505C">
        <w:t>Availability</w:t>
      </w:r>
      <w:r>
        <w:t>,</w:t>
      </w:r>
      <w:r w:rsidRPr="0054505C">
        <w:t xml:space="preserve"> having regard to current commitments or possible conflicts;</w:t>
      </w:r>
      <w:r>
        <w:t xml:space="preserve"> and </w:t>
      </w:r>
    </w:p>
    <w:p w:rsidR="00E3345D" w:rsidRPr="008B556F" w:rsidRDefault="00E3345D" w:rsidP="00442667">
      <w:pPr>
        <w:pStyle w:val="LetteredBullets"/>
      </w:pPr>
      <w:r w:rsidRPr="0054505C">
        <w:t xml:space="preserve">Acceptability of </w:t>
      </w:r>
      <w:r>
        <w:t>f</w:t>
      </w:r>
      <w:r w:rsidRPr="0054505C">
        <w:t xml:space="preserve">ee proposal in the light of Value for Money assessment prior to engagement. </w:t>
      </w:r>
    </w:p>
    <w:p w:rsidR="00E3345D" w:rsidRDefault="00E3345D" w:rsidP="006A53E6">
      <w:r>
        <w:t>Engagement</w:t>
      </w:r>
      <w:r w:rsidRPr="00C17935">
        <w:t xml:space="preserve"> will be subject to managed rotation</w:t>
      </w:r>
      <w:r>
        <w:t>,</w:t>
      </w:r>
      <w:r w:rsidRPr="00C17935">
        <w:t xml:space="preserve"> whereby IHREC will use its best endeavours to allocate work among </w:t>
      </w:r>
      <w:r>
        <w:t xml:space="preserve">the </w:t>
      </w:r>
      <w:r w:rsidRPr="00C17935">
        <w:t>Panel</w:t>
      </w:r>
      <w:r>
        <w:t>’s</w:t>
      </w:r>
      <w:r w:rsidRPr="00C17935">
        <w:t xml:space="preserve"> members in a fair and balanced manner.</w:t>
      </w:r>
      <w:r>
        <w:t xml:space="preserve">   </w:t>
      </w:r>
    </w:p>
    <w:p w:rsidR="00AE231D" w:rsidRDefault="00AE231D">
      <w:pPr>
        <w:spacing w:after="160" w:line="259" w:lineRule="auto"/>
        <w:rPr>
          <w:rFonts w:ascii="Effra" w:eastAsia="Times New Roman" w:hAnsi="Effra"/>
          <w:color w:val="0096A9"/>
          <w:sz w:val="28"/>
          <w:szCs w:val="28"/>
        </w:rPr>
      </w:pPr>
      <w:r>
        <w:br w:type="page"/>
      </w:r>
    </w:p>
    <w:p w:rsidR="00E3345D" w:rsidRDefault="00E3345D" w:rsidP="00442667">
      <w:pPr>
        <w:pStyle w:val="Heading2"/>
      </w:pPr>
      <w:r w:rsidRPr="00E94C44">
        <w:lastRenderedPageBreak/>
        <w:t xml:space="preserve">General Requirements </w:t>
      </w:r>
    </w:p>
    <w:p w:rsidR="00E3345D" w:rsidRPr="00966812" w:rsidRDefault="00E3345D" w:rsidP="006A53E6">
      <w:r w:rsidRPr="00C17935">
        <w:t>The Panel will be open to practicing barristers enrolled on the L</w:t>
      </w:r>
      <w:r>
        <w:t xml:space="preserve">egal </w:t>
      </w:r>
      <w:r w:rsidRPr="00C17935">
        <w:t>S</w:t>
      </w:r>
      <w:r>
        <w:t xml:space="preserve">ervices </w:t>
      </w:r>
      <w:r w:rsidRPr="00C17935">
        <w:t>R</w:t>
      </w:r>
      <w:r>
        <w:t xml:space="preserve">egulatory </w:t>
      </w:r>
      <w:r w:rsidRPr="00C17935">
        <w:t>A</w:t>
      </w:r>
      <w:r>
        <w:t>uthority</w:t>
      </w:r>
      <w:r w:rsidRPr="00C17935">
        <w:t>’s Roll of Practising Barristers. It will operate for a period of two years from its date of establishment</w:t>
      </w:r>
      <w:r>
        <w:t>. Thereafter it will be re-</w:t>
      </w:r>
      <w:r w:rsidRPr="00C17935">
        <w:t>advertised on a recurring basis.  An indication of availability and willingness to be</w:t>
      </w:r>
      <w:r>
        <w:t xml:space="preserve"> </w:t>
      </w:r>
      <w:r w:rsidRPr="00C17935">
        <w:t>briefed does not, o</w:t>
      </w:r>
      <w:r>
        <w:t>f</w:t>
      </w:r>
      <w:r w:rsidRPr="00C17935">
        <w:t xml:space="preserve"> itself, guarantee inclusion on the Panel, nor guarantee that counsel will be briefed.   </w:t>
      </w:r>
    </w:p>
    <w:p w:rsidR="00E3345D" w:rsidRDefault="00E3345D" w:rsidP="006A53E6">
      <w:r w:rsidRPr="00C17935">
        <w:t xml:space="preserve">The Panel will consist of three categories: </w:t>
      </w:r>
    </w:p>
    <w:p w:rsidR="00E3345D" w:rsidRDefault="00E3345D" w:rsidP="00442667">
      <w:pPr>
        <w:pStyle w:val="Numbers"/>
        <w:numPr>
          <w:ilvl w:val="1"/>
          <w:numId w:val="13"/>
        </w:numPr>
      </w:pPr>
      <w:r w:rsidRPr="00C17935">
        <w:t xml:space="preserve">Senior Counsel; </w:t>
      </w:r>
    </w:p>
    <w:p w:rsidR="00E3345D" w:rsidRDefault="000B7261" w:rsidP="00442667">
      <w:pPr>
        <w:pStyle w:val="Numbers"/>
        <w:numPr>
          <w:ilvl w:val="1"/>
          <w:numId w:val="13"/>
        </w:numPr>
      </w:pPr>
      <w:r>
        <w:t>J</w:t>
      </w:r>
      <w:r w:rsidR="00E3345D" w:rsidRPr="00C17935">
        <w:t>unior Counsel of more than 7 years’ standing</w:t>
      </w:r>
      <w:r w:rsidR="00E3345D">
        <w:t>;</w:t>
      </w:r>
      <w:r w:rsidR="00E3345D" w:rsidRPr="00C17935">
        <w:t xml:space="preserve"> and </w:t>
      </w:r>
    </w:p>
    <w:p w:rsidR="00E3345D" w:rsidRDefault="000B7261" w:rsidP="00442667">
      <w:pPr>
        <w:pStyle w:val="Numbers"/>
        <w:numPr>
          <w:ilvl w:val="1"/>
          <w:numId w:val="13"/>
        </w:numPr>
      </w:pPr>
      <w:r>
        <w:t>J</w:t>
      </w:r>
      <w:r w:rsidR="00E3345D" w:rsidRPr="00C17935">
        <w:t xml:space="preserve">unior Counsel of less than 7 years’ standing. </w:t>
      </w:r>
    </w:p>
    <w:p w:rsidR="00E3345D" w:rsidRPr="000B7261" w:rsidRDefault="00E3345D" w:rsidP="006A53E6">
      <w:r>
        <w:t xml:space="preserve">Junior </w:t>
      </w:r>
      <w:r w:rsidRPr="00C17935">
        <w:t xml:space="preserve">Counsel will be re-assigned to </w:t>
      </w:r>
      <w:r>
        <w:t>the Senior Counsel category, as appropriate, d</w:t>
      </w:r>
      <w:r w:rsidRPr="00C17935">
        <w:t xml:space="preserve">uring the term of the Panel.  </w:t>
      </w:r>
    </w:p>
    <w:p w:rsidR="00E3345D" w:rsidRPr="00C17935" w:rsidRDefault="00E3345D" w:rsidP="006A53E6">
      <w:r w:rsidRPr="00C17935">
        <w:t xml:space="preserve">Counsel </w:t>
      </w:r>
      <w:r w:rsidRPr="00217C10">
        <w:rPr>
          <w:b/>
        </w:rPr>
        <w:t>must meet the following minimum requirements</w:t>
      </w:r>
      <w:r w:rsidRPr="00C17935">
        <w:t xml:space="preserve"> in order to be eligible for membership of the Panel:</w:t>
      </w:r>
    </w:p>
    <w:p w:rsidR="00E3345D" w:rsidRDefault="00E3345D" w:rsidP="00442667">
      <w:pPr>
        <w:pStyle w:val="LetteredBullets"/>
        <w:numPr>
          <w:ilvl w:val="0"/>
          <w:numId w:val="14"/>
        </w:numPr>
      </w:pPr>
      <w:r w:rsidRPr="00C17935">
        <w:t>Be practising barristers of good standing;</w:t>
      </w:r>
    </w:p>
    <w:p w:rsidR="00E3345D" w:rsidRPr="00230D6C" w:rsidRDefault="00E3345D" w:rsidP="00442667">
      <w:pPr>
        <w:pStyle w:val="LetteredBullets"/>
      </w:pPr>
      <w:r w:rsidRPr="00230D6C">
        <w:t>Be registered on the Roll of Practising Barristers maintained by the Legal Services Regulatory Authority;</w:t>
      </w:r>
    </w:p>
    <w:p w:rsidR="00E3345D" w:rsidRPr="00C17935" w:rsidRDefault="00E3345D" w:rsidP="00442667">
      <w:pPr>
        <w:pStyle w:val="LetteredBullets"/>
      </w:pPr>
      <w:r w:rsidRPr="00C17935">
        <w:t xml:space="preserve">Be in possession of current professional indemnity insurance </w:t>
      </w:r>
      <w:r>
        <w:t xml:space="preserve">as </w:t>
      </w:r>
      <w:r w:rsidRPr="00C17935">
        <w:t xml:space="preserve">required by the </w:t>
      </w:r>
      <w:r>
        <w:t>Legal Services Regulation Act 2015 and the Legal Services Regulation Act (</w:t>
      </w:r>
      <w:r w:rsidRPr="00C17935">
        <w:t>Professional Indemnity Insurance</w:t>
      </w:r>
      <w:r>
        <w:t>)</w:t>
      </w:r>
      <w:r w:rsidRPr="00C17935">
        <w:t xml:space="preserve"> Regulations</w:t>
      </w:r>
      <w:r>
        <w:t xml:space="preserve"> 2019 </w:t>
      </w:r>
      <w:r w:rsidRPr="00C17935">
        <w:t>(S.I. 572 of 2019</w:t>
      </w:r>
      <w:r>
        <w:t xml:space="preserve">); and </w:t>
      </w:r>
    </w:p>
    <w:p w:rsidR="00E3345D" w:rsidRPr="00C17935" w:rsidRDefault="00E3345D" w:rsidP="00442667">
      <w:pPr>
        <w:pStyle w:val="LetteredBullets"/>
      </w:pPr>
      <w:r w:rsidRPr="00C17935">
        <w:t>Be in possession of a current Tax Clearance Certificate or Tax Clearance Access Number from the Irish Revenue Commissioners.</w:t>
      </w:r>
    </w:p>
    <w:p w:rsidR="00E3345D" w:rsidRDefault="00E3345D" w:rsidP="006A53E6">
      <w:r w:rsidRPr="00C17935">
        <w:t>Failure to maintain any of the foregoing shall terminate Panel membership.</w:t>
      </w:r>
      <w:r>
        <w:t xml:space="preserve"> </w:t>
      </w:r>
    </w:p>
    <w:p w:rsidR="00E3345D" w:rsidRDefault="00E3345D" w:rsidP="006A53E6">
      <w:r>
        <w:t>In discharging its obligation to the public interest, IHREC t</w:t>
      </w:r>
      <w:r w:rsidR="00246C11">
        <w:t xml:space="preserve">akes account of the following: </w:t>
      </w:r>
    </w:p>
    <w:p w:rsidR="00E3345D" w:rsidRDefault="00E3345D" w:rsidP="00442667">
      <w:r w:rsidRPr="00887208">
        <w:rPr>
          <w:b/>
          <w:bCs/>
        </w:rPr>
        <w:lastRenderedPageBreak/>
        <w:t>Non Discrimination</w:t>
      </w:r>
      <w:r>
        <w:t xml:space="preserve">: IHREC </w:t>
      </w:r>
      <w:r w:rsidR="00246C11">
        <w:t xml:space="preserve">briefs </w:t>
      </w:r>
      <w:r>
        <w:t xml:space="preserve">barristers without </w:t>
      </w:r>
      <w:r w:rsidR="00246C11">
        <w:t xml:space="preserve">regard </w:t>
      </w:r>
      <w:r>
        <w:t>to</w:t>
      </w:r>
      <w:r w:rsidR="00246C11">
        <w:t xml:space="preserve"> gender, </w:t>
      </w:r>
      <w:r>
        <w:t xml:space="preserve">sexual </w:t>
      </w:r>
      <w:r w:rsidR="00246C11">
        <w:t xml:space="preserve">orientation, </w:t>
      </w:r>
      <w:r>
        <w:t>race,</w:t>
      </w:r>
      <w:r w:rsidR="00246C11">
        <w:t xml:space="preserve"> disability,</w:t>
      </w:r>
      <w:r>
        <w:t xml:space="preserve"> a</w:t>
      </w:r>
      <w:r w:rsidR="00246C11">
        <w:t>ge,</w:t>
      </w:r>
      <w:r>
        <w:t xml:space="preserve"> religious belief, civil status, family status or membership of the Traveller community. </w:t>
      </w:r>
      <w:r w:rsidR="00246C11">
        <w:t xml:space="preserve"> </w:t>
      </w:r>
      <w:r>
        <w:t xml:space="preserve">IHREC welcomes applications from all members of the Bar with the requisite experience.  </w:t>
      </w:r>
    </w:p>
    <w:p w:rsidR="00E3345D" w:rsidRDefault="00E3345D" w:rsidP="00442667">
      <w:r w:rsidRPr="00887208">
        <w:rPr>
          <w:b/>
          <w:bCs/>
        </w:rPr>
        <w:t>Value for Money</w:t>
      </w:r>
      <w:r>
        <w:t xml:space="preserve">: IHREC’s policy is to ensure that any barrister who is briefed will provide a service of high quality that gives value for money. </w:t>
      </w:r>
      <w:r w:rsidR="00246C11">
        <w:t xml:space="preserve"> </w:t>
      </w:r>
      <w:r>
        <w:t xml:space="preserve">Before a barrister is briefed in relation to any matter, they will be required to provide a written estimate of fee, for agreement with IHREC.  </w:t>
      </w:r>
    </w:p>
    <w:p w:rsidR="00E3345D" w:rsidRDefault="00E3345D" w:rsidP="00442667">
      <w:pPr>
        <w:pStyle w:val="Heading2"/>
      </w:pPr>
      <w:r w:rsidRPr="001305A8">
        <w:t>Specialised nature of the services required</w:t>
      </w:r>
    </w:p>
    <w:p w:rsidR="00E3345D" w:rsidRDefault="00E3345D" w:rsidP="006A53E6">
      <w:r>
        <w:t xml:space="preserve">Having regard to its statutory mandate, the public interest requires a high degree of  specialisation on the part of barristers acting for IHREC and/or private individuals in receipt of legal assistance pursuant to section 40 of the IHREC Act. </w:t>
      </w:r>
      <w:r w:rsidR="00246C11">
        <w:t xml:space="preserve"> </w:t>
      </w:r>
      <w:r>
        <w:t xml:space="preserve">Accordingly, barristers admitted to the Panel are expected to already </w:t>
      </w:r>
      <w:r w:rsidRPr="00230D6C">
        <w:t xml:space="preserve">have </w:t>
      </w:r>
      <w:r w:rsidRPr="00230D6C">
        <w:rPr>
          <w:bCs/>
        </w:rPr>
        <w:t>substantial</w:t>
      </w:r>
      <w:r w:rsidRPr="00230D6C">
        <w:t xml:space="preserve"> expertise and experience </w:t>
      </w:r>
      <w:r w:rsidRPr="00230D6C">
        <w:rPr>
          <w:bCs/>
        </w:rPr>
        <w:t>in at least one of</w:t>
      </w:r>
      <w:r w:rsidRPr="00230D6C">
        <w:t xml:space="preserve"> the following relevant areas of practice:</w:t>
      </w:r>
    </w:p>
    <w:p w:rsidR="00E3345D" w:rsidRDefault="00E3345D" w:rsidP="00442667">
      <w:pPr>
        <w:pStyle w:val="Bullets"/>
      </w:pPr>
      <w:r>
        <w:t xml:space="preserve">The Employment Equality Acts;  </w:t>
      </w:r>
    </w:p>
    <w:p w:rsidR="00E3345D" w:rsidRDefault="00E3345D" w:rsidP="00442667">
      <w:pPr>
        <w:pStyle w:val="Bullets"/>
      </w:pPr>
      <w:r>
        <w:t xml:space="preserve">The Equal Status Acts;  </w:t>
      </w:r>
    </w:p>
    <w:p w:rsidR="00E3345D" w:rsidRDefault="00E3345D" w:rsidP="00442667">
      <w:pPr>
        <w:pStyle w:val="Bullets"/>
      </w:pPr>
      <w:r>
        <w:t xml:space="preserve">Section 19 of the Intoxicating Liquor Act;    </w:t>
      </w:r>
    </w:p>
    <w:p w:rsidR="00E3345D" w:rsidRDefault="00E3345D" w:rsidP="00442667">
      <w:pPr>
        <w:pStyle w:val="Bullets"/>
      </w:pPr>
      <w:r>
        <w:t xml:space="preserve">EU law (in particular Directive 2014/54/EU of the European Parliament and of the  Council of 16 April 2014 on measures facilitating the exercise of rights conferred on  workers in the context of freedom of movement for workers);  </w:t>
      </w:r>
    </w:p>
    <w:p w:rsidR="00E3345D" w:rsidRDefault="00E3345D" w:rsidP="00442667">
      <w:pPr>
        <w:pStyle w:val="Bullets"/>
      </w:pPr>
      <w:r>
        <w:t xml:space="preserve">Constitutional law, specifically relating to equality; and/or   </w:t>
      </w:r>
    </w:p>
    <w:p w:rsidR="00E3345D" w:rsidRDefault="00E3345D" w:rsidP="00442667">
      <w:pPr>
        <w:pStyle w:val="Bullets"/>
      </w:pPr>
      <w:r>
        <w:t xml:space="preserve">ECHR law, specifically relating to equality.  </w:t>
      </w:r>
    </w:p>
    <w:p w:rsidR="00E3345D" w:rsidRDefault="00E3345D" w:rsidP="006A53E6">
      <w:r>
        <w:t>In the case of more recently practicing barristers (i.e. less th</w:t>
      </w:r>
      <w:r w:rsidR="000B7261">
        <w:t xml:space="preserve">an seven years), a level of </w:t>
      </w:r>
      <w:r>
        <w:t>expertise commensurate with their period at the Bar, includi</w:t>
      </w:r>
      <w:r w:rsidR="000B7261">
        <w:t xml:space="preserve">ng the experience gained while </w:t>
      </w:r>
      <w:r>
        <w:t>a devil/pupil and other relevant activity (teaching, academic</w:t>
      </w:r>
      <w:r w:rsidR="000B7261">
        <w:t xml:space="preserve"> writing etc.), will be regarded </w:t>
      </w:r>
      <w:r>
        <w:t>a</w:t>
      </w:r>
      <w:r w:rsidR="000B7261">
        <w:t>s relevant.</w:t>
      </w:r>
    </w:p>
    <w:p w:rsidR="00E3345D" w:rsidRDefault="006A53E6" w:rsidP="00442667">
      <w:pPr>
        <w:pStyle w:val="Heading2"/>
      </w:pPr>
      <w:r>
        <w:lastRenderedPageBreak/>
        <w:t>Quality of Service</w:t>
      </w:r>
    </w:p>
    <w:p w:rsidR="00E3345D" w:rsidRDefault="00E3345D" w:rsidP="006A53E6">
      <w:r>
        <w:t xml:space="preserve">Barristers instructed by IHREC are required to do work of public importance. </w:t>
      </w:r>
      <w:r w:rsidR="00246C11">
        <w:t xml:space="preserve"> </w:t>
      </w:r>
      <w:r>
        <w:t xml:space="preserve">The public interest demands that barristers of high calibre are briefed and that the skills and experience individual counsel can offer are suitable to the particular brief. </w:t>
      </w:r>
      <w:r w:rsidR="00246C11">
        <w:t xml:space="preserve"> </w:t>
      </w:r>
      <w:r>
        <w:t xml:space="preserve">Retention on the Panel is at IHREC’s discretion, and is subject to satisfactory performance of work, as will be determined by IHREC’s </w:t>
      </w:r>
      <w:r w:rsidR="000B7261">
        <w:t xml:space="preserve">Head of Legal. </w:t>
      </w:r>
    </w:p>
    <w:p w:rsidR="00E3345D" w:rsidRDefault="00E3345D" w:rsidP="006A53E6">
      <w:r>
        <w:t xml:space="preserve">Each engagement shall be subject to initial agreement on scope of work and fees and delivery of a section 150 notice. </w:t>
      </w:r>
      <w:r w:rsidR="00246C11">
        <w:t xml:space="preserve"> </w:t>
      </w:r>
      <w:r>
        <w:t xml:space="preserve">The performance of services by barristers shall, at all times, be in accordance with the Bar of Ireland’s Code of Conduct (and any future code for barristers that may be put in place by the Legal Services Regulatory Authority). </w:t>
      </w:r>
    </w:p>
    <w:p w:rsidR="00E3345D" w:rsidRDefault="00E3345D" w:rsidP="006A53E6">
      <w:r>
        <w:t>Barristers are briefed on a case-by-case basis and will act in accordance with instructions and</w:t>
      </w:r>
      <w:r w:rsidR="000B7261">
        <w:t xml:space="preserve"> </w:t>
      </w:r>
      <w:r>
        <w:t>in compliance with relevant guidelines.</w:t>
      </w:r>
    </w:p>
    <w:p w:rsidR="00E3345D" w:rsidRDefault="00E3345D" w:rsidP="006A53E6">
      <w:r>
        <w:t xml:space="preserve">Where a Panel member, for maternity/paternity/adoption reasons or other personal reasons, wishes to take a period of time out from being available, they should write to IHREC’s Head of Legal indicating the date after which they will be in a position to resume their position on the panel. </w:t>
      </w:r>
      <w:r w:rsidR="00246C11">
        <w:t xml:space="preserve"> </w:t>
      </w:r>
      <w:r>
        <w:t xml:space="preserve">Counsel will be accommodated in this regard.   </w:t>
      </w:r>
    </w:p>
    <w:p w:rsidR="000B7261" w:rsidRDefault="000B7261" w:rsidP="00442667">
      <w:r>
        <w:br w:type="page"/>
      </w:r>
    </w:p>
    <w:p w:rsidR="00E3345D" w:rsidRDefault="000B7261" w:rsidP="00442667">
      <w:pPr>
        <w:pStyle w:val="Heading1"/>
      </w:pPr>
      <w:r w:rsidRPr="00284B96">
        <w:lastRenderedPageBreak/>
        <w:t xml:space="preserve">Section 3: </w:t>
      </w:r>
      <w:r>
        <w:t xml:space="preserve">The </w:t>
      </w:r>
      <w:r w:rsidRPr="00284B96">
        <w:t>Application Process</w:t>
      </w:r>
    </w:p>
    <w:p w:rsidR="000B7261" w:rsidRDefault="00E3345D" w:rsidP="00246C11">
      <w:r w:rsidRPr="00246C11">
        <w:t xml:space="preserve">IHREC invites counsel with expertise in the area of equality law, who wish to confirm their availability and willingness to be briefed, to submit their details using the </w:t>
      </w:r>
      <w:hyperlink r:id="rId8" w:history="1">
        <w:r w:rsidRPr="00E00EDE">
          <w:rPr>
            <w:rStyle w:val="Hyperlink"/>
          </w:rPr>
          <w:t>Expression of Interest for the Specialist Equality Law P</w:t>
        </w:r>
        <w:bookmarkStart w:id="0" w:name="_GoBack"/>
        <w:bookmarkEnd w:id="0"/>
        <w:r w:rsidRPr="00E00EDE">
          <w:rPr>
            <w:rStyle w:val="Hyperlink"/>
          </w:rPr>
          <w:t>a</w:t>
        </w:r>
        <w:r w:rsidRPr="00E00EDE">
          <w:rPr>
            <w:rStyle w:val="Hyperlink"/>
          </w:rPr>
          <w:t>nel of Barristers form</w:t>
        </w:r>
      </w:hyperlink>
      <w:r w:rsidRPr="00246C11">
        <w:t xml:space="preserve"> before 5pm on 15 July</w:t>
      </w:r>
      <w:r w:rsidRPr="00230D6C">
        <w:t xml:space="preserve"> 2022</w:t>
      </w:r>
      <w:r>
        <w:t>.</w:t>
      </w:r>
      <w:r w:rsidR="00B468B4">
        <w:t xml:space="preserve"> </w:t>
      </w:r>
      <w:r w:rsidR="00691F8D">
        <w:t xml:space="preserve"> </w:t>
      </w:r>
      <w:r w:rsidR="00691F8D" w:rsidRPr="00691F8D">
        <w:t>Late submissions will not be accepted.</w:t>
      </w:r>
    </w:p>
    <w:sectPr w:rsidR="000B7261" w:rsidSect="00E61963">
      <w:headerReference w:type="first" r:id="rId9"/>
      <w:footerReference w:type="first" r:id="rId10"/>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7E" w:rsidRDefault="0087297E" w:rsidP="00442667">
      <w:r>
        <w:separator/>
      </w:r>
    </w:p>
    <w:p w:rsidR="0087297E" w:rsidRDefault="0087297E" w:rsidP="00442667"/>
  </w:endnote>
  <w:endnote w:type="continuationSeparator" w:id="0">
    <w:p w:rsidR="0087297E" w:rsidRDefault="0087297E" w:rsidP="00442667">
      <w:r>
        <w:continuationSeparator/>
      </w:r>
    </w:p>
    <w:p w:rsidR="0087297E" w:rsidRDefault="0087297E" w:rsidP="00442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ffra">
    <w:altName w:val="Times New Roman"/>
    <w:panose1 w:val="020B0603020203020204"/>
    <w:charset w:val="00"/>
    <w:family w:val="swiss"/>
    <w:pitch w:val="variable"/>
    <w:sig w:usb0="A00002A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67" w:rsidRDefault="00D35F67" w:rsidP="00442667">
    <w:pPr>
      <w:pStyle w:val="Footer"/>
    </w:pPr>
  </w:p>
  <w:p w:rsidR="00D35F67" w:rsidRDefault="00D35F67" w:rsidP="00442667">
    <w:pPr>
      <w:pStyle w:val="Footer"/>
    </w:pPr>
  </w:p>
  <w:p w:rsidR="00833AF7" w:rsidRDefault="00833AF7" w:rsidP="0044266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7E" w:rsidRDefault="0087297E" w:rsidP="00442667">
      <w:r>
        <w:separator/>
      </w:r>
    </w:p>
    <w:p w:rsidR="0087297E" w:rsidRDefault="0087297E" w:rsidP="00442667"/>
  </w:footnote>
  <w:footnote w:type="continuationSeparator" w:id="0">
    <w:p w:rsidR="0087297E" w:rsidRDefault="0087297E" w:rsidP="00442667">
      <w:r>
        <w:continuationSeparator/>
      </w:r>
    </w:p>
    <w:p w:rsidR="0087297E" w:rsidRDefault="0087297E" w:rsidP="00442667"/>
  </w:footnote>
  <w:footnote w:id="1">
    <w:p w:rsidR="00E3345D" w:rsidRPr="00966812" w:rsidRDefault="00E3345D" w:rsidP="00442667">
      <w:pPr>
        <w:pStyle w:val="FootnoteText"/>
      </w:pPr>
      <w:r w:rsidRPr="00966812">
        <w:rPr>
          <w:rStyle w:val="FootnoteReference"/>
        </w:rPr>
        <w:footnoteRef/>
      </w:r>
      <w:r w:rsidRPr="00966812">
        <w:t xml:space="preserve"> Department of Public Expenditure and Reform Circular No 5 of 2013, (Procurement of Legal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61" w:rsidRDefault="000B7261" w:rsidP="00442667">
    <w:pPr>
      <w:pStyle w:val="Header"/>
    </w:pPr>
    <w:r w:rsidRPr="00837B08">
      <w:rPr>
        <w:lang w:val="en-IE" w:eastAsia="en-IE"/>
      </w:rPr>
      <w:drawing>
        <wp:inline distT="0" distB="0" distL="0" distR="0">
          <wp:extent cx="3857625" cy="852170"/>
          <wp:effectExtent l="0" t="0" r="9525" b="5080"/>
          <wp:docPr id="4" name="Picture 4"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0D2"/>
    <w:multiLevelType w:val="hybridMultilevel"/>
    <w:tmpl w:val="CDDA9BEC"/>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5C44F85"/>
    <w:multiLevelType w:val="multilevel"/>
    <w:tmpl w:val="9F5AAC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68E1699"/>
    <w:multiLevelType w:val="hybridMultilevel"/>
    <w:tmpl w:val="0EBCAAD6"/>
    <w:lvl w:ilvl="0" w:tplc="88606028">
      <w:start w:val="30"/>
      <w:numFmt w:val="bullet"/>
      <w:pStyle w:val="Bullets"/>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DA644D8"/>
    <w:multiLevelType w:val="hybridMultilevel"/>
    <w:tmpl w:val="B90A4CFE"/>
    <w:lvl w:ilvl="0" w:tplc="C0D2E2F0">
      <w:start w:val="1"/>
      <w:numFmt w:val="lowerRoman"/>
      <w:lvlText w:val="(%1)"/>
      <w:lvlJc w:val="left"/>
      <w:pPr>
        <w:ind w:left="1428" w:hanging="720"/>
      </w:pPr>
      <w:rPr>
        <w:rFonts w:hint="default"/>
      </w:rPr>
    </w:lvl>
    <w:lvl w:ilvl="1" w:tplc="18090019" w:tentative="1">
      <w:start w:val="1"/>
      <w:numFmt w:val="lowerLetter"/>
      <w:lvlText w:val="%2."/>
      <w:lvlJc w:val="left"/>
      <w:pPr>
        <w:ind w:left="1788" w:hanging="360"/>
      </w:pPr>
    </w:lvl>
    <w:lvl w:ilvl="2" w:tplc="1809001B" w:tentative="1">
      <w:start w:val="1"/>
      <w:numFmt w:val="lowerRoman"/>
      <w:lvlText w:val="%3."/>
      <w:lvlJc w:val="right"/>
      <w:pPr>
        <w:ind w:left="2508" w:hanging="180"/>
      </w:pPr>
    </w:lvl>
    <w:lvl w:ilvl="3" w:tplc="1809000F" w:tentative="1">
      <w:start w:val="1"/>
      <w:numFmt w:val="decimal"/>
      <w:lvlText w:val="%4."/>
      <w:lvlJc w:val="left"/>
      <w:pPr>
        <w:ind w:left="3228" w:hanging="360"/>
      </w:pPr>
    </w:lvl>
    <w:lvl w:ilvl="4" w:tplc="18090019" w:tentative="1">
      <w:start w:val="1"/>
      <w:numFmt w:val="lowerLetter"/>
      <w:lvlText w:val="%5."/>
      <w:lvlJc w:val="left"/>
      <w:pPr>
        <w:ind w:left="3948" w:hanging="360"/>
      </w:pPr>
    </w:lvl>
    <w:lvl w:ilvl="5" w:tplc="1809001B" w:tentative="1">
      <w:start w:val="1"/>
      <w:numFmt w:val="lowerRoman"/>
      <w:lvlText w:val="%6."/>
      <w:lvlJc w:val="right"/>
      <w:pPr>
        <w:ind w:left="4668" w:hanging="180"/>
      </w:pPr>
    </w:lvl>
    <w:lvl w:ilvl="6" w:tplc="1809000F" w:tentative="1">
      <w:start w:val="1"/>
      <w:numFmt w:val="decimal"/>
      <w:lvlText w:val="%7."/>
      <w:lvlJc w:val="left"/>
      <w:pPr>
        <w:ind w:left="5388" w:hanging="360"/>
      </w:pPr>
    </w:lvl>
    <w:lvl w:ilvl="7" w:tplc="18090019" w:tentative="1">
      <w:start w:val="1"/>
      <w:numFmt w:val="lowerLetter"/>
      <w:lvlText w:val="%8."/>
      <w:lvlJc w:val="left"/>
      <w:pPr>
        <w:ind w:left="6108" w:hanging="360"/>
      </w:pPr>
    </w:lvl>
    <w:lvl w:ilvl="8" w:tplc="1809001B" w:tentative="1">
      <w:start w:val="1"/>
      <w:numFmt w:val="lowerRoman"/>
      <w:lvlText w:val="%9."/>
      <w:lvlJc w:val="right"/>
      <w:pPr>
        <w:ind w:left="6828" w:hanging="180"/>
      </w:pPr>
    </w:lvl>
  </w:abstractNum>
  <w:abstractNum w:abstractNumId="4" w15:restartNumberingAfterBreak="0">
    <w:nsid w:val="1CE11236"/>
    <w:multiLevelType w:val="hybridMultilevel"/>
    <w:tmpl w:val="86B06D5E"/>
    <w:lvl w:ilvl="0" w:tplc="60DA1C12">
      <w:start w:val="1"/>
      <w:numFmt w:val="decimal"/>
      <w:lvlText w:val="%1."/>
      <w:lvlJc w:val="left"/>
      <w:pPr>
        <w:ind w:left="360" w:hanging="360"/>
      </w:pPr>
    </w:lvl>
    <w:lvl w:ilvl="1" w:tplc="1809000F">
      <w:start w:val="1"/>
      <w:numFmt w:val="decimal"/>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5A4309"/>
    <w:multiLevelType w:val="hybridMultilevel"/>
    <w:tmpl w:val="E824727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6DA5D0D"/>
    <w:multiLevelType w:val="hybridMultilevel"/>
    <w:tmpl w:val="A866DB22"/>
    <w:lvl w:ilvl="0" w:tplc="60DA1C12">
      <w:start w:val="1"/>
      <w:numFmt w:val="decimal"/>
      <w:pStyle w:val="Numbers"/>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2CD51D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15096D"/>
    <w:multiLevelType w:val="hybridMultilevel"/>
    <w:tmpl w:val="D8F4AA7A"/>
    <w:lvl w:ilvl="0" w:tplc="7D6E4C28">
      <w:start w:val="1"/>
      <w:numFmt w:val="lowerLetter"/>
      <w:pStyle w:val="LetteredBullets"/>
      <w:lvlText w:val="(%1)"/>
      <w:lvlJc w:val="left"/>
      <w:pPr>
        <w:ind w:left="1080" w:hanging="360"/>
      </w:pPr>
      <w:rPr>
        <w:b w:val="0"/>
        <w:bCs w:val="0"/>
        <w:i w:val="0"/>
        <w:iCs w:val="0"/>
        <w:caps w:val="0"/>
        <w:smallCaps w:val="0"/>
        <w:strike w:val="0"/>
        <w:dstrike w:val="0"/>
        <w:outline w:val="0"/>
        <w:shadow w:val="0"/>
        <w:emboss w:val="0"/>
        <w:imprint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9"/>
  </w:num>
  <w:num w:numId="2">
    <w:abstractNumId w:val="2"/>
  </w:num>
  <w:num w:numId="3">
    <w:abstractNumId w:val="7"/>
  </w:num>
  <w:num w:numId="4">
    <w:abstractNumId w:val="6"/>
  </w:num>
  <w:num w:numId="5">
    <w:abstractNumId w:val="1"/>
  </w:num>
  <w:num w:numId="6">
    <w:abstractNumId w:val="3"/>
  </w:num>
  <w:num w:numId="7">
    <w:abstractNumId w:val="0"/>
  </w:num>
  <w:num w:numId="8">
    <w:abstractNumId w:val="5"/>
  </w:num>
  <w:num w:numId="9">
    <w:abstractNumId w:val="8"/>
  </w:num>
  <w:num w:numId="10">
    <w:abstractNumId w:val="9"/>
    <w:lvlOverride w:ilvl="0">
      <w:startOverride w:val="1"/>
    </w:lvlOverride>
  </w:num>
  <w:num w:numId="11">
    <w:abstractNumId w:val="7"/>
    <w:lvlOverride w:ilvl="0">
      <w:startOverride w:val="1"/>
    </w:lvlOverride>
  </w:num>
  <w:num w:numId="12">
    <w:abstractNumId w:val="9"/>
    <w:lvlOverride w:ilvl="0">
      <w:startOverride w:val="1"/>
    </w:lvlOverride>
  </w:num>
  <w:num w:numId="13">
    <w:abstractNumId w:val="4"/>
  </w:num>
  <w:num w:numId="14">
    <w:abstractNumId w:val="9"/>
    <w:lvlOverride w:ilvl="0">
      <w:startOverride w:val="1"/>
    </w:lvlOverride>
  </w:num>
  <w:num w:numId="15">
    <w:abstractNumId w:val="7"/>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5D"/>
    <w:rsid w:val="00002DE4"/>
    <w:rsid w:val="000B7261"/>
    <w:rsid w:val="000C6044"/>
    <w:rsid w:val="00102D22"/>
    <w:rsid w:val="001148CE"/>
    <w:rsid w:val="0018444C"/>
    <w:rsid w:val="001A58EC"/>
    <w:rsid w:val="001B2DD6"/>
    <w:rsid w:val="001F02AB"/>
    <w:rsid w:val="002108B2"/>
    <w:rsid w:val="00230A90"/>
    <w:rsid w:val="00246C11"/>
    <w:rsid w:val="002E2C78"/>
    <w:rsid w:val="00315C92"/>
    <w:rsid w:val="003D4B41"/>
    <w:rsid w:val="00442667"/>
    <w:rsid w:val="00493B34"/>
    <w:rsid w:val="004B1097"/>
    <w:rsid w:val="00570F32"/>
    <w:rsid w:val="005805A9"/>
    <w:rsid w:val="005A594C"/>
    <w:rsid w:val="005C375B"/>
    <w:rsid w:val="006120F5"/>
    <w:rsid w:val="00685F08"/>
    <w:rsid w:val="00686DB3"/>
    <w:rsid w:val="00691F8D"/>
    <w:rsid w:val="006A53E6"/>
    <w:rsid w:val="0072397E"/>
    <w:rsid w:val="00833AF7"/>
    <w:rsid w:val="0087297E"/>
    <w:rsid w:val="008A2790"/>
    <w:rsid w:val="008B556F"/>
    <w:rsid w:val="00932650"/>
    <w:rsid w:val="009B30B1"/>
    <w:rsid w:val="00A16F55"/>
    <w:rsid w:val="00AA5450"/>
    <w:rsid w:val="00AE231D"/>
    <w:rsid w:val="00B468B4"/>
    <w:rsid w:val="00BE3488"/>
    <w:rsid w:val="00CD51C3"/>
    <w:rsid w:val="00D35F67"/>
    <w:rsid w:val="00DB5023"/>
    <w:rsid w:val="00E00EDE"/>
    <w:rsid w:val="00E3345D"/>
    <w:rsid w:val="00F72F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8A7A25-5944-448F-8044-1CD1603D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667"/>
    <w:pPr>
      <w:spacing w:after="240" w:line="360" w:lineRule="auto"/>
    </w:pPr>
    <w:rPr>
      <w:rFonts w:cstheme="minorHAnsi"/>
      <w:noProof/>
      <w:sz w:val="24"/>
      <w:szCs w:val="24"/>
      <w:lang w:val="en-GB"/>
    </w:rPr>
  </w:style>
  <w:style w:type="paragraph" w:styleId="Heading1">
    <w:name w:val="heading 1"/>
    <w:basedOn w:val="Normal"/>
    <w:next w:val="Normal"/>
    <w:link w:val="Heading1Char"/>
    <w:uiPriority w:val="9"/>
    <w:qFormat/>
    <w:rsid w:val="00AA5450"/>
    <w:pPr>
      <w:keepNext/>
      <w:keepLines/>
      <w:spacing w:before="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AA5450"/>
    <w:pPr>
      <w:outlineLvl w:val="1"/>
    </w:pPr>
    <w:rPr>
      <w:rFonts w:ascii="Effra" w:eastAsia="Times New Roman" w:hAnsi="Effra"/>
      <w:color w:val="0096A9"/>
      <w:sz w:val="28"/>
      <w:szCs w:val="28"/>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AA5450"/>
    <w:rPr>
      <w:rFonts w:ascii="Effra" w:eastAsia="Times New Roman" w:hAnsi="Effra" w:cstheme="minorHAnsi"/>
      <w:color w:val="0096A9"/>
      <w:sz w:val="28"/>
      <w:szCs w:val="28"/>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102D22"/>
    <w:pPr>
      <w:numPr>
        <w:numId w:val="2"/>
      </w:numPr>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0B7261"/>
    <w:pPr>
      <w:numPr>
        <w:numId w:val="1"/>
      </w:numPr>
    </w:pPr>
  </w:style>
  <w:style w:type="character" w:customStyle="1" w:styleId="LetteredBulletsChar">
    <w:name w:val="Lettered Bullets Char"/>
    <w:basedOn w:val="DefaultParagraphFont"/>
    <w:link w:val="LetteredBullets"/>
    <w:rsid w:val="000B7261"/>
    <w:rPr>
      <w:rFonts w:cstheme="minorHAnsi"/>
      <w:noProof/>
      <w:sz w:val="24"/>
      <w:szCs w:val="24"/>
      <w:lang w:val="en-GB"/>
    </w:rPr>
  </w:style>
  <w:style w:type="paragraph" w:customStyle="1" w:styleId="Numbers">
    <w:name w:val="Numbers"/>
    <w:basedOn w:val="Normal"/>
    <w:link w:val="NumbersChar"/>
    <w:qFormat/>
    <w:rsid w:val="00AA5450"/>
    <w:pPr>
      <w:numPr>
        <w:numId w:val="3"/>
      </w:numPr>
    </w:pPr>
  </w:style>
  <w:style w:type="character" w:customStyle="1" w:styleId="NumbersChar">
    <w:name w:val="Numbers Char"/>
    <w:basedOn w:val="DefaultParagraphFont"/>
    <w:link w:val="Numbers"/>
    <w:rsid w:val="00AA5450"/>
    <w:rPr>
      <w:rFonts w:cstheme="minorHAnsi"/>
      <w:sz w:val="24"/>
      <w:lang w:val="en-GB"/>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basedOn w:val="Normal"/>
    <w:link w:val="FootnoteTextChar"/>
    <w:uiPriority w:val="99"/>
    <w:unhideWhenUsed/>
    <w:rsid w:val="00D35F67"/>
    <w:pPr>
      <w:spacing w:line="240" w:lineRule="auto"/>
    </w:pPr>
    <w:rPr>
      <w:sz w:val="20"/>
      <w:szCs w:val="20"/>
    </w:rPr>
  </w:style>
  <w:style w:type="character" w:customStyle="1" w:styleId="FootnoteTextChar">
    <w:name w:val="Footnote Text Char"/>
    <w:basedOn w:val="DefaultParagraphFont"/>
    <w:link w:val="FootnoteText"/>
    <w:uiPriority w:val="99"/>
    <w:rsid w:val="00D35F67"/>
    <w:rPr>
      <w:sz w:val="20"/>
      <w:szCs w:val="20"/>
    </w:rPr>
  </w:style>
  <w:style w:type="character" w:styleId="FootnoteReference">
    <w:name w:val="footnote reference"/>
    <w:basedOn w:val="DefaultParagraphFont"/>
    <w:uiPriority w:val="99"/>
    <w:semiHidden/>
    <w:unhideWhenUsed/>
    <w:rsid w:val="00D35F67"/>
    <w:rPr>
      <w:vertAlign w:val="superscript"/>
    </w:rPr>
  </w:style>
  <w:style w:type="paragraph" w:styleId="NoSpacing">
    <w:name w:val="No Spacing"/>
    <w:aliases w:val="Footnotes"/>
    <w:basedOn w:val="FootnoteText"/>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paragraph" w:styleId="ListParagraph">
    <w:name w:val="List Paragraph"/>
    <w:basedOn w:val="Normal"/>
    <w:uiPriority w:val="34"/>
    <w:qFormat/>
    <w:rsid w:val="00E3345D"/>
    <w:pPr>
      <w:spacing w:after="160" w:line="259" w:lineRule="auto"/>
      <w:ind w:left="720"/>
      <w:contextualSpacing/>
    </w:pPr>
    <w:rPr>
      <w:rFonts w:cstheme="minorBidi"/>
      <w:noProof w:val="0"/>
      <w:sz w:val="22"/>
      <w:szCs w:val="22"/>
      <w:lang w:val="en-IE"/>
    </w:rPr>
  </w:style>
  <w:style w:type="character" w:styleId="FollowedHyperlink">
    <w:name w:val="FollowedHyperlink"/>
    <w:basedOn w:val="DefaultParagraphFont"/>
    <w:uiPriority w:val="99"/>
    <w:semiHidden/>
    <w:unhideWhenUsed/>
    <w:rsid w:val="00E00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rec.ie/app/uploads/2022/06/Expression-of-Interest-Form-Irish-Human-Rights-and-Equality-Commission-Specialist-Equality-Law-Panel.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616F-F2E5-43DE-B98C-BDD7CA1C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61</TotalTime>
  <Pages>9</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17</cp:revision>
  <dcterms:created xsi:type="dcterms:W3CDTF">2022-06-15T13:00:00Z</dcterms:created>
  <dcterms:modified xsi:type="dcterms:W3CDTF">2022-06-17T12:06:00Z</dcterms:modified>
</cp:coreProperties>
</file>