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74FC" w14:textId="77777777" w:rsidR="003D2570" w:rsidRPr="00A71595" w:rsidRDefault="003D2570" w:rsidP="003D2570">
      <w:pPr>
        <w:jc w:val="center"/>
        <w:rPr>
          <w:rFonts w:ascii="Times" w:hAnsi="Times"/>
          <w:b/>
          <w:bCs/>
          <w:color w:val="000000" w:themeColor="text1"/>
        </w:rPr>
      </w:pPr>
      <w:r w:rsidRPr="00A71595">
        <w:rPr>
          <w:rFonts w:ascii="Times" w:hAnsi="Times"/>
          <w:b/>
          <w:bCs/>
          <w:color w:val="000000" w:themeColor="text1"/>
        </w:rPr>
        <w:t>THE SUPREME COURT</w:t>
      </w:r>
    </w:p>
    <w:p w14:paraId="355EC56F" w14:textId="77777777" w:rsidR="003D2570" w:rsidRPr="00A71595" w:rsidRDefault="003D2570" w:rsidP="003D2570">
      <w:pPr>
        <w:jc w:val="right"/>
        <w:rPr>
          <w:rFonts w:ascii="Times" w:hAnsi="Times"/>
          <w:b/>
          <w:bCs/>
          <w:color w:val="000000" w:themeColor="text1"/>
        </w:rPr>
      </w:pPr>
    </w:p>
    <w:p w14:paraId="0FC8FDA8" w14:textId="0DDDF191" w:rsidR="003D2570" w:rsidRPr="00A71595" w:rsidRDefault="003D2570" w:rsidP="003D2570">
      <w:pPr>
        <w:jc w:val="right"/>
        <w:rPr>
          <w:rFonts w:ascii="Times" w:hAnsi="Times"/>
          <w:color w:val="000000" w:themeColor="text1"/>
        </w:rPr>
      </w:pPr>
      <w:r w:rsidRPr="00A71595">
        <w:rPr>
          <w:rFonts w:ascii="Times" w:hAnsi="Times"/>
          <w:color w:val="000000" w:themeColor="text1"/>
        </w:rPr>
        <w:t>Appeal No. 2022/82</w:t>
      </w:r>
    </w:p>
    <w:p w14:paraId="2CB7D0B4" w14:textId="77777777" w:rsidR="003D2570" w:rsidRPr="00A71595" w:rsidRDefault="003D2570" w:rsidP="003D2570">
      <w:pPr>
        <w:rPr>
          <w:rFonts w:ascii="Times" w:hAnsi="Times"/>
          <w:color w:val="000000" w:themeColor="text1"/>
        </w:rPr>
      </w:pPr>
      <w:r w:rsidRPr="00A71595">
        <w:rPr>
          <w:rFonts w:ascii="Times" w:hAnsi="Times"/>
          <w:color w:val="000000" w:themeColor="text1"/>
        </w:rPr>
        <w:t>BETWEEN</w:t>
      </w:r>
    </w:p>
    <w:p w14:paraId="22CE457C" w14:textId="77777777" w:rsidR="003D2570" w:rsidRPr="00A71595" w:rsidRDefault="003D2570" w:rsidP="003D2570">
      <w:pPr>
        <w:jc w:val="center"/>
        <w:rPr>
          <w:rFonts w:ascii="Times" w:hAnsi="Times"/>
          <w:b/>
          <w:bCs/>
          <w:color w:val="000000" w:themeColor="text1"/>
        </w:rPr>
      </w:pPr>
    </w:p>
    <w:p w14:paraId="5E4C7372" w14:textId="77777777" w:rsidR="003D2570" w:rsidRPr="00A71595" w:rsidRDefault="003D2570" w:rsidP="003D2570">
      <w:pPr>
        <w:jc w:val="center"/>
        <w:rPr>
          <w:rFonts w:ascii="Times" w:hAnsi="Times"/>
          <w:b/>
          <w:bCs/>
          <w:color w:val="000000" w:themeColor="text1"/>
        </w:rPr>
      </w:pPr>
      <w:r w:rsidRPr="00A71595">
        <w:rPr>
          <w:rFonts w:ascii="Times" w:hAnsi="Times"/>
          <w:b/>
          <w:bCs/>
          <w:color w:val="000000" w:themeColor="text1"/>
        </w:rPr>
        <w:t>C.W.</w:t>
      </w:r>
    </w:p>
    <w:p w14:paraId="35F5CE9B" w14:textId="77777777" w:rsidR="003D2570" w:rsidRPr="00A71595" w:rsidRDefault="003D2570" w:rsidP="003D2570">
      <w:pPr>
        <w:jc w:val="right"/>
        <w:rPr>
          <w:rFonts w:ascii="Times" w:hAnsi="Times"/>
          <w:color w:val="000000" w:themeColor="text1"/>
        </w:rPr>
      </w:pPr>
    </w:p>
    <w:p w14:paraId="3203E341" w14:textId="77777777" w:rsidR="003D2570" w:rsidRPr="00A71595" w:rsidRDefault="003D2570" w:rsidP="003D2570">
      <w:pPr>
        <w:jc w:val="right"/>
        <w:rPr>
          <w:rFonts w:ascii="Times" w:hAnsi="Times"/>
          <w:color w:val="000000" w:themeColor="text1"/>
        </w:rPr>
      </w:pPr>
      <w:r w:rsidRPr="00A71595">
        <w:rPr>
          <w:rFonts w:ascii="Times" w:hAnsi="Times"/>
          <w:color w:val="000000" w:themeColor="text1"/>
        </w:rPr>
        <w:t>PLAINTIFF/RESPONDENT</w:t>
      </w:r>
    </w:p>
    <w:p w14:paraId="5A321160" w14:textId="77777777" w:rsidR="003D2570" w:rsidRPr="00A71595" w:rsidRDefault="003D2570" w:rsidP="003D2570">
      <w:pPr>
        <w:jc w:val="center"/>
        <w:rPr>
          <w:rFonts w:ascii="Times" w:hAnsi="Times"/>
          <w:color w:val="000000" w:themeColor="text1"/>
        </w:rPr>
      </w:pPr>
      <w:r w:rsidRPr="00A71595">
        <w:rPr>
          <w:rFonts w:ascii="Times" w:hAnsi="Times"/>
          <w:color w:val="000000" w:themeColor="text1"/>
        </w:rPr>
        <w:t>AND</w:t>
      </w:r>
    </w:p>
    <w:p w14:paraId="4DD164C5" w14:textId="77777777" w:rsidR="003D2570" w:rsidRPr="00A71595" w:rsidRDefault="003D2570" w:rsidP="003D2570">
      <w:pPr>
        <w:jc w:val="center"/>
        <w:rPr>
          <w:rFonts w:ascii="Times" w:hAnsi="Times"/>
          <w:b/>
          <w:bCs/>
          <w:color w:val="000000" w:themeColor="text1"/>
        </w:rPr>
      </w:pPr>
    </w:p>
    <w:p w14:paraId="7513ABAF" w14:textId="77777777" w:rsidR="003D2570" w:rsidRPr="00A71595" w:rsidRDefault="003D2570" w:rsidP="003D2570">
      <w:pPr>
        <w:jc w:val="center"/>
        <w:rPr>
          <w:rFonts w:ascii="Times" w:hAnsi="Times"/>
          <w:b/>
          <w:bCs/>
          <w:color w:val="000000" w:themeColor="text1"/>
        </w:rPr>
      </w:pPr>
      <w:r w:rsidRPr="00A71595">
        <w:rPr>
          <w:rFonts w:ascii="Times" w:hAnsi="Times"/>
          <w:b/>
          <w:bCs/>
          <w:color w:val="000000" w:themeColor="text1"/>
        </w:rPr>
        <w:t xml:space="preserve">THE MINISTER FOR JUSTICE, </w:t>
      </w:r>
    </w:p>
    <w:p w14:paraId="0EAE5BC7" w14:textId="77777777" w:rsidR="003D2570" w:rsidRPr="00A71595" w:rsidRDefault="003D2570" w:rsidP="003D2570">
      <w:pPr>
        <w:jc w:val="center"/>
        <w:rPr>
          <w:rFonts w:ascii="Times" w:hAnsi="Times"/>
          <w:b/>
          <w:bCs/>
          <w:color w:val="000000" w:themeColor="text1"/>
        </w:rPr>
      </w:pPr>
      <w:r w:rsidRPr="00A71595">
        <w:rPr>
          <w:rFonts w:ascii="Times" w:hAnsi="Times"/>
          <w:b/>
          <w:bCs/>
          <w:color w:val="000000" w:themeColor="text1"/>
        </w:rPr>
        <w:t>IRELAND AND THE ATTORNEY GENERAL</w:t>
      </w:r>
    </w:p>
    <w:p w14:paraId="520396DE" w14:textId="77777777" w:rsidR="003D2570" w:rsidRPr="00A71595" w:rsidRDefault="003D2570" w:rsidP="003D2570">
      <w:pPr>
        <w:jc w:val="center"/>
        <w:rPr>
          <w:rFonts w:ascii="Times" w:hAnsi="Times"/>
          <w:b/>
          <w:bCs/>
          <w:color w:val="000000" w:themeColor="text1"/>
        </w:rPr>
      </w:pPr>
    </w:p>
    <w:p w14:paraId="6EBF979D" w14:textId="3341C834" w:rsidR="003D2570" w:rsidRDefault="003D2570" w:rsidP="003D2570">
      <w:pPr>
        <w:jc w:val="right"/>
        <w:rPr>
          <w:rFonts w:ascii="Times" w:hAnsi="Times"/>
          <w:color w:val="000000" w:themeColor="text1"/>
        </w:rPr>
      </w:pPr>
      <w:r w:rsidRPr="00A71595">
        <w:rPr>
          <w:rFonts w:ascii="Times" w:hAnsi="Times"/>
          <w:color w:val="000000" w:themeColor="text1"/>
        </w:rPr>
        <w:t>DEFENDANT</w:t>
      </w:r>
      <w:r w:rsidR="00175B02" w:rsidRPr="00A71595">
        <w:rPr>
          <w:rFonts w:ascii="Times" w:hAnsi="Times"/>
          <w:color w:val="000000" w:themeColor="text1"/>
        </w:rPr>
        <w:t>S</w:t>
      </w:r>
      <w:r w:rsidRPr="00A71595">
        <w:rPr>
          <w:rFonts w:ascii="Times" w:hAnsi="Times"/>
          <w:color w:val="000000" w:themeColor="text1"/>
        </w:rPr>
        <w:t>/APPELLANT</w:t>
      </w:r>
      <w:r w:rsidR="00175B02" w:rsidRPr="00A71595">
        <w:rPr>
          <w:rFonts w:ascii="Times" w:hAnsi="Times"/>
          <w:color w:val="000000" w:themeColor="text1"/>
        </w:rPr>
        <w:t>S</w:t>
      </w:r>
    </w:p>
    <w:p w14:paraId="7DAA3FFD" w14:textId="0765C998" w:rsidR="0029136B" w:rsidRDefault="0029136B" w:rsidP="003D2570">
      <w:pPr>
        <w:jc w:val="right"/>
        <w:rPr>
          <w:rFonts w:ascii="Times" w:hAnsi="Times"/>
          <w:color w:val="000000" w:themeColor="text1"/>
        </w:rPr>
      </w:pPr>
    </w:p>
    <w:p w14:paraId="66F38949" w14:textId="6F56D05E" w:rsidR="0029136B" w:rsidRDefault="0029136B" w:rsidP="0029136B">
      <w:pPr>
        <w:jc w:val="center"/>
        <w:rPr>
          <w:rFonts w:ascii="Times" w:hAnsi="Times"/>
          <w:color w:val="000000" w:themeColor="text1"/>
        </w:rPr>
      </w:pPr>
      <w:r>
        <w:rPr>
          <w:rFonts w:ascii="Times" w:hAnsi="Times"/>
          <w:color w:val="000000" w:themeColor="text1"/>
        </w:rPr>
        <w:t>AND</w:t>
      </w:r>
    </w:p>
    <w:p w14:paraId="70848C7F" w14:textId="280EE923" w:rsidR="0029136B" w:rsidRPr="0029136B" w:rsidRDefault="0029136B" w:rsidP="0029136B">
      <w:pPr>
        <w:jc w:val="center"/>
        <w:rPr>
          <w:rFonts w:ascii="Times" w:hAnsi="Times"/>
          <w:b/>
          <w:bCs/>
          <w:color w:val="000000" w:themeColor="text1"/>
        </w:rPr>
      </w:pPr>
    </w:p>
    <w:p w14:paraId="5F12A713" w14:textId="3DC0773F" w:rsidR="0029136B" w:rsidRDefault="0029136B" w:rsidP="0029136B">
      <w:pPr>
        <w:jc w:val="center"/>
        <w:rPr>
          <w:rFonts w:ascii="Times" w:hAnsi="Times"/>
          <w:b/>
          <w:bCs/>
          <w:color w:val="000000" w:themeColor="text1"/>
        </w:rPr>
      </w:pPr>
      <w:r w:rsidRPr="0029136B">
        <w:rPr>
          <w:rFonts w:ascii="Times" w:hAnsi="Times"/>
          <w:b/>
          <w:bCs/>
          <w:color w:val="000000" w:themeColor="text1"/>
        </w:rPr>
        <w:t>THE IRISH HUMAN RIGHTS AND EQUALITY COMMISSION</w:t>
      </w:r>
    </w:p>
    <w:p w14:paraId="677496E4" w14:textId="77777777" w:rsidR="0029136B" w:rsidRDefault="0029136B" w:rsidP="0029136B">
      <w:pPr>
        <w:jc w:val="right"/>
        <w:rPr>
          <w:rFonts w:ascii="Times" w:hAnsi="Times"/>
          <w:color w:val="000000" w:themeColor="text1"/>
        </w:rPr>
      </w:pPr>
    </w:p>
    <w:p w14:paraId="1BAB7A57" w14:textId="7D455256" w:rsidR="0029136B" w:rsidRPr="0029136B" w:rsidRDefault="0029136B" w:rsidP="0029136B">
      <w:pPr>
        <w:jc w:val="right"/>
        <w:rPr>
          <w:rFonts w:ascii="Times" w:hAnsi="Times"/>
          <w:color w:val="000000" w:themeColor="text1"/>
        </w:rPr>
      </w:pPr>
      <w:r>
        <w:rPr>
          <w:rFonts w:ascii="Times" w:hAnsi="Times"/>
          <w:color w:val="000000" w:themeColor="text1"/>
        </w:rPr>
        <w:t>AMICUS CURIAE</w:t>
      </w:r>
    </w:p>
    <w:p w14:paraId="4728617D" w14:textId="77777777" w:rsidR="003D2570" w:rsidRPr="00A71595" w:rsidRDefault="003D2570" w:rsidP="003D2570">
      <w:pPr>
        <w:jc w:val="both"/>
        <w:rPr>
          <w:rFonts w:ascii="Times" w:hAnsi="Times"/>
          <w:color w:val="000000" w:themeColor="text1"/>
        </w:rPr>
      </w:pPr>
    </w:p>
    <w:p w14:paraId="7330D133" w14:textId="77777777" w:rsidR="003D2570" w:rsidRPr="00A71595" w:rsidRDefault="003D2570" w:rsidP="003D2570">
      <w:pPr>
        <w:jc w:val="center"/>
        <w:rPr>
          <w:rFonts w:ascii="Times" w:hAnsi="Times"/>
          <w:b/>
          <w:bCs/>
          <w:color w:val="000000" w:themeColor="text1"/>
          <w:u w:val="single"/>
        </w:rPr>
      </w:pPr>
    </w:p>
    <w:p w14:paraId="69216936" w14:textId="0426C58C" w:rsidR="003D2570" w:rsidRPr="00A71595" w:rsidRDefault="003D2570" w:rsidP="003D2570">
      <w:pPr>
        <w:jc w:val="center"/>
        <w:rPr>
          <w:rFonts w:ascii="Times" w:hAnsi="Times"/>
          <w:b/>
          <w:bCs/>
          <w:color w:val="000000" w:themeColor="text1"/>
          <w:u w:val="single"/>
        </w:rPr>
      </w:pPr>
      <w:r w:rsidRPr="00A71595">
        <w:rPr>
          <w:rFonts w:ascii="Times" w:hAnsi="Times"/>
          <w:b/>
          <w:bCs/>
          <w:color w:val="000000" w:themeColor="text1"/>
          <w:u w:val="single"/>
        </w:rPr>
        <w:t>SUBMISSIONS ON BEHALF OF THE AMICUS</w:t>
      </w:r>
      <w:r w:rsidR="00674007">
        <w:rPr>
          <w:rFonts w:ascii="Times" w:hAnsi="Times"/>
          <w:b/>
          <w:bCs/>
          <w:color w:val="000000" w:themeColor="text1"/>
          <w:u w:val="single"/>
        </w:rPr>
        <w:t xml:space="preserve"> CURIAE</w:t>
      </w:r>
    </w:p>
    <w:p w14:paraId="20D8967B" w14:textId="58B1EF1B" w:rsidR="003D2570" w:rsidRDefault="003D2570" w:rsidP="003D2570">
      <w:pPr>
        <w:pStyle w:val="ListParagraph"/>
        <w:shd w:val="clear" w:color="auto" w:fill="FFFFFF"/>
        <w:spacing w:after="240"/>
        <w:ind w:left="360"/>
        <w:jc w:val="both"/>
        <w:rPr>
          <w:rFonts w:ascii="Times" w:hAnsi="Times" w:cs="Open Sans"/>
          <w:b/>
          <w:bCs/>
          <w:color w:val="000000" w:themeColor="text1"/>
        </w:rPr>
      </w:pPr>
    </w:p>
    <w:p w14:paraId="3D2EBBA5" w14:textId="44E184CE" w:rsidR="00033685" w:rsidRDefault="00033685" w:rsidP="003D2570">
      <w:pPr>
        <w:pStyle w:val="ListParagraph"/>
        <w:shd w:val="clear" w:color="auto" w:fill="FFFFFF"/>
        <w:spacing w:after="240"/>
        <w:ind w:left="360"/>
        <w:jc w:val="both"/>
        <w:rPr>
          <w:rFonts w:ascii="Times" w:hAnsi="Times" w:cs="Open Sans"/>
          <w:b/>
          <w:bCs/>
          <w:color w:val="000000" w:themeColor="text1"/>
        </w:rPr>
      </w:pPr>
    </w:p>
    <w:p w14:paraId="6651CCBA" w14:textId="2143CA43" w:rsidR="00033685" w:rsidRDefault="00033685">
      <w:pPr>
        <w:pStyle w:val="TOC1"/>
        <w:tabs>
          <w:tab w:val="right" w:leader="dot" w:pos="9010"/>
        </w:tabs>
        <w:rPr>
          <w:noProof/>
        </w:rPr>
      </w:pPr>
      <w:r>
        <w:rPr>
          <w:rFonts w:ascii="Times" w:hAnsi="Times" w:cs="Open Sans"/>
          <w:b/>
          <w:bCs/>
          <w:color w:val="000000" w:themeColor="text1"/>
        </w:rPr>
        <w:fldChar w:fldCharType="begin"/>
      </w:r>
      <w:r>
        <w:rPr>
          <w:rFonts w:ascii="Times" w:hAnsi="Times" w:cs="Open Sans"/>
          <w:b/>
          <w:bCs/>
          <w:color w:val="000000" w:themeColor="text1"/>
        </w:rPr>
        <w:instrText xml:space="preserve"> TOC \o "1-3" \h \z \u </w:instrText>
      </w:r>
      <w:r>
        <w:rPr>
          <w:rFonts w:ascii="Times" w:hAnsi="Times" w:cs="Open Sans"/>
          <w:b/>
          <w:bCs/>
          <w:color w:val="000000" w:themeColor="text1"/>
        </w:rPr>
        <w:fldChar w:fldCharType="separate"/>
      </w:r>
      <w:hyperlink w:anchor="_Toc128532588" w:history="1">
        <w:r w:rsidRPr="00157620">
          <w:rPr>
            <w:rStyle w:val="Hyperlink"/>
            <w:noProof/>
          </w:rPr>
          <w:t>Introduction</w:t>
        </w:r>
        <w:r>
          <w:rPr>
            <w:noProof/>
            <w:webHidden/>
          </w:rPr>
          <w:tab/>
        </w:r>
        <w:r>
          <w:rPr>
            <w:noProof/>
            <w:webHidden/>
          </w:rPr>
          <w:fldChar w:fldCharType="begin"/>
        </w:r>
        <w:r>
          <w:rPr>
            <w:noProof/>
            <w:webHidden/>
          </w:rPr>
          <w:instrText xml:space="preserve"> PAGEREF _Toc128532588 \h </w:instrText>
        </w:r>
        <w:r>
          <w:rPr>
            <w:noProof/>
            <w:webHidden/>
          </w:rPr>
        </w:r>
        <w:r>
          <w:rPr>
            <w:noProof/>
            <w:webHidden/>
          </w:rPr>
          <w:fldChar w:fldCharType="separate"/>
        </w:r>
        <w:r w:rsidR="00D40DF2">
          <w:rPr>
            <w:noProof/>
            <w:webHidden/>
          </w:rPr>
          <w:t>2</w:t>
        </w:r>
        <w:r>
          <w:rPr>
            <w:noProof/>
            <w:webHidden/>
          </w:rPr>
          <w:fldChar w:fldCharType="end"/>
        </w:r>
      </w:hyperlink>
    </w:p>
    <w:p w14:paraId="6B27E66A" w14:textId="341A581D" w:rsidR="00033685" w:rsidRDefault="00D40DF2">
      <w:pPr>
        <w:pStyle w:val="TOC1"/>
        <w:tabs>
          <w:tab w:val="right" w:leader="dot" w:pos="9010"/>
        </w:tabs>
        <w:rPr>
          <w:noProof/>
        </w:rPr>
      </w:pPr>
      <w:hyperlink w:anchor="_Toc128532589" w:history="1">
        <w:r w:rsidR="00033685" w:rsidRPr="00157620">
          <w:rPr>
            <w:rStyle w:val="Hyperlink"/>
            <w:noProof/>
          </w:rPr>
          <w:t>The constitutional values and rights underlying the right to a fair trial</w:t>
        </w:r>
        <w:r w:rsidR="00033685">
          <w:rPr>
            <w:noProof/>
            <w:webHidden/>
          </w:rPr>
          <w:tab/>
        </w:r>
        <w:r w:rsidR="00033685">
          <w:rPr>
            <w:noProof/>
            <w:webHidden/>
          </w:rPr>
          <w:fldChar w:fldCharType="begin"/>
        </w:r>
        <w:r w:rsidR="00033685">
          <w:rPr>
            <w:noProof/>
            <w:webHidden/>
          </w:rPr>
          <w:instrText xml:space="preserve"> PAGEREF _Toc128532589 \h </w:instrText>
        </w:r>
        <w:r w:rsidR="00033685">
          <w:rPr>
            <w:noProof/>
            <w:webHidden/>
          </w:rPr>
        </w:r>
        <w:r w:rsidR="00033685">
          <w:rPr>
            <w:noProof/>
            <w:webHidden/>
          </w:rPr>
          <w:fldChar w:fldCharType="separate"/>
        </w:r>
        <w:r>
          <w:rPr>
            <w:noProof/>
            <w:webHidden/>
          </w:rPr>
          <w:t>2</w:t>
        </w:r>
        <w:r w:rsidR="00033685">
          <w:rPr>
            <w:noProof/>
            <w:webHidden/>
          </w:rPr>
          <w:fldChar w:fldCharType="end"/>
        </w:r>
      </w:hyperlink>
    </w:p>
    <w:p w14:paraId="74BF7175" w14:textId="012E3965" w:rsidR="00033685" w:rsidRDefault="00D40DF2">
      <w:pPr>
        <w:pStyle w:val="TOC1"/>
        <w:tabs>
          <w:tab w:val="right" w:leader="dot" w:pos="9010"/>
        </w:tabs>
        <w:rPr>
          <w:noProof/>
        </w:rPr>
      </w:pPr>
      <w:hyperlink w:anchor="_Toc128532590" w:history="1">
        <w:r w:rsidR="00033685" w:rsidRPr="00157620">
          <w:rPr>
            <w:rStyle w:val="Hyperlink"/>
            <w:noProof/>
          </w:rPr>
          <w:t>The presumption of innocence as an aspect of the right to a fair trial</w:t>
        </w:r>
        <w:r w:rsidR="00033685">
          <w:rPr>
            <w:noProof/>
            <w:webHidden/>
          </w:rPr>
          <w:tab/>
        </w:r>
        <w:r w:rsidR="00033685">
          <w:rPr>
            <w:noProof/>
            <w:webHidden/>
          </w:rPr>
          <w:fldChar w:fldCharType="begin"/>
        </w:r>
        <w:r w:rsidR="00033685">
          <w:rPr>
            <w:noProof/>
            <w:webHidden/>
          </w:rPr>
          <w:instrText xml:space="preserve"> PAGEREF _Toc128532590 \h </w:instrText>
        </w:r>
        <w:r w:rsidR="00033685">
          <w:rPr>
            <w:noProof/>
            <w:webHidden/>
          </w:rPr>
        </w:r>
        <w:r w:rsidR="00033685">
          <w:rPr>
            <w:noProof/>
            <w:webHidden/>
          </w:rPr>
          <w:fldChar w:fldCharType="separate"/>
        </w:r>
        <w:r>
          <w:rPr>
            <w:noProof/>
            <w:webHidden/>
          </w:rPr>
          <w:t>4</w:t>
        </w:r>
        <w:r w:rsidR="00033685">
          <w:rPr>
            <w:noProof/>
            <w:webHidden/>
          </w:rPr>
          <w:fldChar w:fldCharType="end"/>
        </w:r>
      </w:hyperlink>
    </w:p>
    <w:p w14:paraId="6F708691" w14:textId="2C592B04" w:rsidR="00033685" w:rsidRDefault="00D40DF2">
      <w:pPr>
        <w:pStyle w:val="TOC1"/>
        <w:tabs>
          <w:tab w:val="right" w:leader="dot" w:pos="9010"/>
        </w:tabs>
        <w:rPr>
          <w:noProof/>
        </w:rPr>
      </w:pPr>
      <w:hyperlink w:anchor="_Toc128532591" w:history="1">
        <w:r w:rsidR="00033685" w:rsidRPr="00157620">
          <w:rPr>
            <w:rStyle w:val="Hyperlink"/>
            <w:noProof/>
          </w:rPr>
          <w:t>The presumption of innocence in the context of the right to a fair trial</w:t>
        </w:r>
        <w:r w:rsidR="00033685">
          <w:rPr>
            <w:noProof/>
            <w:webHidden/>
          </w:rPr>
          <w:tab/>
        </w:r>
        <w:r w:rsidR="00033685">
          <w:rPr>
            <w:noProof/>
            <w:webHidden/>
          </w:rPr>
          <w:fldChar w:fldCharType="begin"/>
        </w:r>
        <w:r w:rsidR="00033685">
          <w:rPr>
            <w:noProof/>
            <w:webHidden/>
          </w:rPr>
          <w:instrText xml:space="preserve"> PAGEREF _Toc128532591 \h </w:instrText>
        </w:r>
        <w:r w:rsidR="00033685">
          <w:rPr>
            <w:noProof/>
            <w:webHidden/>
          </w:rPr>
        </w:r>
        <w:r w:rsidR="00033685">
          <w:rPr>
            <w:noProof/>
            <w:webHidden/>
          </w:rPr>
          <w:fldChar w:fldCharType="separate"/>
        </w:r>
        <w:r>
          <w:rPr>
            <w:noProof/>
            <w:webHidden/>
          </w:rPr>
          <w:t>5</w:t>
        </w:r>
        <w:r w:rsidR="00033685">
          <w:rPr>
            <w:noProof/>
            <w:webHidden/>
          </w:rPr>
          <w:fldChar w:fldCharType="end"/>
        </w:r>
      </w:hyperlink>
    </w:p>
    <w:p w14:paraId="4AE76CA0" w14:textId="2986BC27" w:rsidR="00033685" w:rsidRDefault="00D40DF2">
      <w:pPr>
        <w:pStyle w:val="TOC1"/>
        <w:tabs>
          <w:tab w:val="right" w:leader="dot" w:pos="9010"/>
        </w:tabs>
        <w:rPr>
          <w:noProof/>
        </w:rPr>
      </w:pPr>
      <w:hyperlink w:anchor="_Toc128532592" w:history="1">
        <w:r w:rsidR="00033685" w:rsidRPr="00157620">
          <w:rPr>
            <w:rStyle w:val="Hyperlink"/>
            <w:noProof/>
          </w:rPr>
          <w:t>A principled approach to the protection of fair trial rights</w:t>
        </w:r>
        <w:r w:rsidR="00033685">
          <w:rPr>
            <w:noProof/>
            <w:webHidden/>
          </w:rPr>
          <w:tab/>
        </w:r>
        <w:r w:rsidR="00033685">
          <w:rPr>
            <w:noProof/>
            <w:webHidden/>
          </w:rPr>
          <w:fldChar w:fldCharType="begin"/>
        </w:r>
        <w:r w:rsidR="00033685">
          <w:rPr>
            <w:noProof/>
            <w:webHidden/>
          </w:rPr>
          <w:instrText xml:space="preserve"> PAGEREF _Toc128532592 \h </w:instrText>
        </w:r>
        <w:r w:rsidR="00033685">
          <w:rPr>
            <w:noProof/>
            <w:webHidden/>
          </w:rPr>
        </w:r>
        <w:r w:rsidR="00033685">
          <w:rPr>
            <w:noProof/>
            <w:webHidden/>
          </w:rPr>
          <w:fldChar w:fldCharType="separate"/>
        </w:r>
        <w:r>
          <w:rPr>
            <w:noProof/>
            <w:webHidden/>
          </w:rPr>
          <w:t>7</w:t>
        </w:r>
        <w:r w:rsidR="00033685">
          <w:rPr>
            <w:noProof/>
            <w:webHidden/>
          </w:rPr>
          <w:fldChar w:fldCharType="end"/>
        </w:r>
      </w:hyperlink>
    </w:p>
    <w:p w14:paraId="2B3F0B05" w14:textId="0CFC39DF" w:rsidR="00033685" w:rsidRDefault="00D40DF2">
      <w:pPr>
        <w:pStyle w:val="TOC1"/>
        <w:tabs>
          <w:tab w:val="right" w:leader="dot" w:pos="9010"/>
        </w:tabs>
        <w:rPr>
          <w:noProof/>
        </w:rPr>
      </w:pPr>
      <w:hyperlink w:anchor="_Toc128532593" w:history="1">
        <w:r w:rsidR="00033685" w:rsidRPr="00157620">
          <w:rPr>
            <w:rStyle w:val="Hyperlink"/>
            <w:noProof/>
          </w:rPr>
          <w:t>Application of these principles</w:t>
        </w:r>
        <w:r w:rsidR="00033685">
          <w:rPr>
            <w:noProof/>
            <w:webHidden/>
          </w:rPr>
          <w:tab/>
        </w:r>
        <w:r w:rsidR="00033685">
          <w:rPr>
            <w:noProof/>
            <w:webHidden/>
          </w:rPr>
          <w:fldChar w:fldCharType="begin"/>
        </w:r>
        <w:r w:rsidR="00033685">
          <w:rPr>
            <w:noProof/>
            <w:webHidden/>
          </w:rPr>
          <w:instrText xml:space="preserve"> PAGEREF _Toc128532593 \h </w:instrText>
        </w:r>
        <w:r w:rsidR="00033685">
          <w:rPr>
            <w:noProof/>
            <w:webHidden/>
          </w:rPr>
        </w:r>
        <w:r w:rsidR="00033685">
          <w:rPr>
            <w:noProof/>
            <w:webHidden/>
          </w:rPr>
          <w:fldChar w:fldCharType="separate"/>
        </w:r>
        <w:r>
          <w:rPr>
            <w:noProof/>
            <w:webHidden/>
          </w:rPr>
          <w:t>9</w:t>
        </w:r>
        <w:r w:rsidR="00033685">
          <w:rPr>
            <w:noProof/>
            <w:webHidden/>
          </w:rPr>
          <w:fldChar w:fldCharType="end"/>
        </w:r>
      </w:hyperlink>
    </w:p>
    <w:p w14:paraId="2C9690F0" w14:textId="4169BFFB" w:rsidR="00033685" w:rsidRDefault="00D40DF2">
      <w:pPr>
        <w:pStyle w:val="TOC1"/>
        <w:tabs>
          <w:tab w:val="right" w:leader="dot" w:pos="9010"/>
        </w:tabs>
        <w:rPr>
          <w:noProof/>
        </w:rPr>
      </w:pPr>
      <w:hyperlink w:anchor="_Toc128532594" w:history="1">
        <w:r w:rsidR="00033685" w:rsidRPr="00157620">
          <w:rPr>
            <w:rStyle w:val="Hyperlink"/>
            <w:noProof/>
          </w:rPr>
          <w:t>The ECHR caselaw is too underdeveloped to yield useful principles</w:t>
        </w:r>
        <w:r w:rsidR="00033685">
          <w:rPr>
            <w:noProof/>
            <w:webHidden/>
          </w:rPr>
          <w:tab/>
        </w:r>
        <w:r w:rsidR="00033685">
          <w:rPr>
            <w:noProof/>
            <w:webHidden/>
          </w:rPr>
          <w:fldChar w:fldCharType="begin"/>
        </w:r>
        <w:r w:rsidR="00033685">
          <w:rPr>
            <w:noProof/>
            <w:webHidden/>
          </w:rPr>
          <w:instrText xml:space="preserve"> PAGEREF _Toc128532594 \h </w:instrText>
        </w:r>
        <w:r w:rsidR="00033685">
          <w:rPr>
            <w:noProof/>
            <w:webHidden/>
          </w:rPr>
        </w:r>
        <w:r w:rsidR="00033685">
          <w:rPr>
            <w:noProof/>
            <w:webHidden/>
          </w:rPr>
          <w:fldChar w:fldCharType="separate"/>
        </w:r>
        <w:r>
          <w:rPr>
            <w:noProof/>
            <w:webHidden/>
          </w:rPr>
          <w:t>11</w:t>
        </w:r>
        <w:r w:rsidR="00033685">
          <w:rPr>
            <w:noProof/>
            <w:webHidden/>
          </w:rPr>
          <w:fldChar w:fldCharType="end"/>
        </w:r>
      </w:hyperlink>
    </w:p>
    <w:p w14:paraId="27432407" w14:textId="68593263" w:rsidR="00033685" w:rsidRDefault="00D40DF2">
      <w:pPr>
        <w:pStyle w:val="TOC1"/>
        <w:tabs>
          <w:tab w:val="right" w:leader="dot" w:pos="9010"/>
        </w:tabs>
        <w:rPr>
          <w:noProof/>
        </w:rPr>
      </w:pPr>
      <w:hyperlink w:anchor="_Toc128532595" w:history="1">
        <w:r w:rsidR="00033685" w:rsidRPr="00157620">
          <w:rPr>
            <w:rStyle w:val="Hyperlink"/>
            <w:noProof/>
          </w:rPr>
          <w:t>Other jurisdictions</w:t>
        </w:r>
        <w:r w:rsidR="00033685">
          <w:rPr>
            <w:noProof/>
            <w:webHidden/>
          </w:rPr>
          <w:tab/>
        </w:r>
        <w:r w:rsidR="00033685">
          <w:rPr>
            <w:noProof/>
            <w:webHidden/>
          </w:rPr>
          <w:fldChar w:fldCharType="begin"/>
        </w:r>
        <w:r w:rsidR="00033685">
          <w:rPr>
            <w:noProof/>
            <w:webHidden/>
          </w:rPr>
          <w:instrText xml:space="preserve"> PAGEREF _Toc128532595 \h </w:instrText>
        </w:r>
        <w:r w:rsidR="00033685">
          <w:rPr>
            <w:noProof/>
            <w:webHidden/>
          </w:rPr>
        </w:r>
        <w:r w:rsidR="00033685">
          <w:rPr>
            <w:noProof/>
            <w:webHidden/>
          </w:rPr>
          <w:fldChar w:fldCharType="separate"/>
        </w:r>
        <w:r>
          <w:rPr>
            <w:noProof/>
            <w:webHidden/>
          </w:rPr>
          <w:t>13</w:t>
        </w:r>
        <w:r w:rsidR="00033685">
          <w:rPr>
            <w:noProof/>
            <w:webHidden/>
          </w:rPr>
          <w:fldChar w:fldCharType="end"/>
        </w:r>
      </w:hyperlink>
    </w:p>
    <w:p w14:paraId="55C9D60A" w14:textId="26998056" w:rsidR="00033685" w:rsidRDefault="00D40DF2">
      <w:pPr>
        <w:pStyle w:val="TOC1"/>
        <w:tabs>
          <w:tab w:val="right" w:leader="dot" w:pos="9010"/>
        </w:tabs>
        <w:rPr>
          <w:noProof/>
        </w:rPr>
      </w:pPr>
      <w:hyperlink w:anchor="_Toc128532596" w:history="1">
        <w:r w:rsidR="00033685" w:rsidRPr="00157620">
          <w:rPr>
            <w:rStyle w:val="Hyperlink"/>
            <w:noProof/>
          </w:rPr>
          <w:t>The special case of mental disorder</w:t>
        </w:r>
        <w:r w:rsidR="00033685">
          <w:rPr>
            <w:noProof/>
            <w:webHidden/>
          </w:rPr>
          <w:tab/>
        </w:r>
        <w:r w:rsidR="00033685">
          <w:rPr>
            <w:noProof/>
            <w:webHidden/>
          </w:rPr>
          <w:fldChar w:fldCharType="begin"/>
        </w:r>
        <w:r w:rsidR="00033685">
          <w:rPr>
            <w:noProof/>
            <w:webHidden/>
          </w:rPr>
          <w:instrText xml:space="preserve"> PAGEREF _Toc128532596 \h </w:instrText>
        </w:r>
        <w:r w:rsidR="00033685">
          <w:rPr>
            <w:noProof/>
            <w:webHidden/>
          </w:rPr>
        </w:r>
        <w:r w:rsidR="00033685">
          <w:rPr>
            <w:noProof/>
            <w:webHidden/>
          </w:rPr>
          <w:fldChar w:fldCharType="separate"/>
        </w:r>
        <w:r>
          <w:rPr>
            <w:noProof/>
            <w:webHidden/>
          </w:rPr>
          <w:t>16</w:t>
        </w:r>
        <w:r w:rsidR="00033685">
          <w:rPr>
            <w:noProof/>
            <w:webHidden/>
          </w:rPr>
          <w:fldChar w:fldCharType="end"/>
        </w:r>
      </w:hyperlink>
    </w:p>
    <w:p w14:paraId="3B2531FF" w14:textId="65B6F4BB" w:rsidR="00033685" w:rsidRDefault="00D40DF2">
      <w:pPr>
        <w:pStyle w:val="TOC1"/>
        <w:tabs>
          <w:tab w:val="right" w:leader="dot" w:pos="9010"/>
        </w:tabs>
        <w:rPr>
          <w:noProof/>
        </w:rPr>
      </w:pPr>
      <w:hyperlink w:anchor="_Toc128532597" w:history="1">
        <w:r w:rsidR="00033685" w:rsidRPr="00157620">
          <w:rPr>
            <w:rStyle w:val="Hyperlink"/>
            <w:noProof/>
          </w:rPr>
          <w:t>The possible application of the mental disorder approach to prosecutions generally</w:t>
        </w:r>
        <w:r w:rsidR="00033685">
          <w:rPr>
            <w:noProof/>
            <w:webHidden/>
          </w:rPr>
          <w:tab/>
        </w:r>
        <w:r w:rsidR="00033685">
          <w:rPr>
            <w:noProof/>
            <w:webHidden/>
          </w:rPr>
          <w:fldChar w:fldCharType="begin"/>
        </w:r>
        <w:r w:rsidR="00033685">
          <w:rPr>
            <w:noProof/>
            <w:webHidden/>
          </w:rPr>
          <w:instrText xml:space="preserve"> PAGEREF _Toc128532597 \h </w:instrText>
        </w:r>
        <w:r w:rsidR="00033685">
          <w:rPr>
            <w:noProof/>
            <w:webHidden/>
          </w:rPr>
        </w:r>
        <w:r w:rsidR="00033685">
          <w:rPr>
            <w:noProof/>
            <w:webHidden/>
          </w:rPr>
          <w:fldChar w:fldCharType="separate"/>
        </w:r>
        <w:r>
          <w:rPr>
            <w:noProof/>
            <w:webHidden/>
          </w:rPr>
          <w:t>18</w:t>
        </w:r>
        <w:r w:rsidR="00033685">
          <w:rPr>
            <w:noProof/>
            <w:webHidden/>
          </w:rPr>
          <w:fldChar w:fldCharType="end"/>
        </w:r>
      </w:hyperlink>
    </w:p>
    <w:p w14:paraId="1CFBE0DA" w14:textId="0A6D54FA" w:rsidR="00033685" w:rsidRDefault="00D40DF2">
      <w:pPr>
        <w:pStyle w:val="TOC1"/>
        <w:tabs>
          <w:tab w:val="right" w:leader="dot" w:pos="9010"/>
        </w:tabs>
        <w:rPr>
          <w:noProof/>
        </w:rPr>
      </w:pPr>
      <w:hyperlink w:anchor="_Toc128532598" w:history="1">
        <w:r w:rsidR="00033685" w:rsidRPr="00157620">
          <w:rPr>
            <w:rStyle w:val="Hyperlink"/>
            <w:noProof/>
          </w:rPr>
          <w:t>Presumptions of Fact and proportionality</w:t>
        </w:r>
        <w:r w:rsidR="00033685">
          <w:rPr>
            <w:noProof/>
            <w:webHidden/>
          </w:rPr>
          <w:tab/>
        </w:r>
        <w:r w:rsidR="00033685">
          <w:rPr>
            <w:noProof/>
            <w:webHidden/>
          </w:rPr>
          <w:fldChar w:fldCharType="begin"/>
        </w:r>
        <w:r w:rsidR="00033685">
          <w:rPr>
            <w:noProof/>
            <w:webHidden/>
          </w:rPr>
          <w:instrText xml:space="preserve"> PAGEREF _Toc128532598 \h </w:instrText>
        </w:r>
        <w:r w:rsidR="00033685">
          <w:rPr>
            <w:noProof/>
            <w:webHidden/>
          </w:rPr>
        </w:r>
        <w:r w:rsidR="00033685">
          <w:rPr>
            <w:noProof/>
            <w:webHidden/>
          </w:rPr>
          <w:fldChar w:fldCharType="separate"/>
        </w:r>
        <w:r>
          <w:rPr>
            <w:noProof/>
            <w:webHidden/>
          </w:rPr>
          <w:t>21</w:t>
        </w:r>
        <w:r w:rsidR="00033685">
          <w:rPr>
            <w:noProof/>
            <w:webHidden/>
          </w:rPr>
          <w:fldChar w:fldCharType="end"/>
        </w:r>
      </w:hyperlink>
    </w:p>
    <w:p w14:paraId="05EDBD2D" w14:textId="0231A23C" w:rsidR="00033685" w:rsidRDefault="00D40DF2">
      <w:pPr>
        <w:pStyle w:val="TOC1"/>
        <w:tabs>
          <w:tab w:val="right" w:leader="dot" w:pos="9010"/>
        </w:tabs>
        <w:rPr>
          <w:noProof/>
        </w:rPr>
      </w:pPr>
      <w:hyperlink w:anchor="_Toc128532599" w:history="1">
        <w:r w:rsidR="00033685" w:rsidRPr="00157620">
          <w:rPr>
            <w:rStyle w:val="Hyperlink"/>
            <w:noProof/>
          </w:rPr>
          <w:t>Application of these principles to S.3(5) of the 2006 Act</w:t>
        </w:r>
        <w:r w:rsidR="00033685">
          <w:rPr>
            <w:noProof/>
            <w:webHidden/>
          </w:rPr>
          <w:tab/>
        </w:r>
        <w:r w:rsidR="00033685">
          <w:rPr>
            <w:noProof/>
            <w:webHidden/>
          </w:rPr>
          <w:fldChar w:fldCharType="begin"/>
        </w:r>
        <w:r w:rsidR="00033685">
          <w:rPr>
            <w:noProof/>
            <w:webHidden/>
          </w:rPr>
          <w:instrText xml:space="preserve"> PAGEREF _Toc128532599 \h </w:instrText>
        </w:r>
        <w:r w:rsidR="00033685">
          <w:rPr>
            <w:noProof/>
            <w:webHidden/>
          </w:rPr>
        </w:r>
        <w:r w:rsidR="00033685">
          <w:rPr>
            <w:noProof/>
            <w:webHidden/>
          </w:rPr>
          <w:fldChar w:fldCharType="separate"/>
        </w:r>
        <w:r>
          <w:rPr>
            <w:noProof/>
            <w:webHidden/>
          </w:rPr>
          <w:t>23</w:t>
        </w:r>
        <w:r w:rsidR="00033685">
          <w:rPr>
            <w:noProof/>
            <w:webHidden/>
          </w:rPr>
          <w:fldChar w:fldCharType="end"/>
        </w:r>
      </w:hyperlink>
    </w:p>
    <w:p w14:paraId="0C7F20BF" w14:textId="62C2F147" w:rsidR="00033685" w:rsidRDefault="00D40DF2">
      <w:pPr>
        <w:pStyle w:val="TOC1"/>
        <w:tabs>
          <w:tab w:val="right" w:leader="dot" w:pos="9010"/>
        </w:tabs>
        <w:rPr>
          <w:noProof/>
        </w:rPr>
      </w:pPr>
      <w:hyperlink w:anchor="_Toc128532600" w:history="1">
        <w:r w:rsidR="00033685" w:rsidRPr="00157620">
          <w:rPr>
            <w:rStyle w:val="Hyperlink"/>
            <w:noProof/>
          </w:rPr>
          <w:t>Proportionality and evidence</w:t>
        </w:r>
        <w:r w:rsidR="00033685">
          <w:rPr>
            <w:noProof/>
            <w:webHidden/>
          </w:rPr>
          <w:tab/>
        </w:r>
        <w:r w:rsidR="00033685">
          <w:rPr>
            <w:noProof/>
            <w:webHidden/>
          </w:rPr>
          <w:fldChar w:fldCharType="begin"/>
        </w:r>
        <w:r w:rsidR="00033685">
          <w:rPr>
            <w:noProof/>
            <w:webHidden/>
          </w:rPr>
          <w:instrText xml:space="preserve"> PAGEREF _Toc128532600 \h </w:instrText>
        </w:r>
        <w:r w:rsidR="00033685">
          <w:rPr>
            <w:noProof/>
            <w:webHidden/>
          </w:rPr>
        </w:r>
        <w:r w:rsidR="00033685">
          <w:rPr>
            <w:noProof/>
            <w:webHidden/>
          </w:rPr>
          <w:fldChar w:fldCharType="separate"/>
        </w:r>
        <w:r>
          <w:rPr>
            <w:noProof/>
            <w:webHidden/>
          </w:rPr>
          <w:t>25</w:t>
        </w:r>
        <w:r w:rsidR="00033685">
          <w:rPr>
            <w:noProof/>
            <w:webHidden/>
          </w:rPr>
          <w:fldChar w:fldCharType="end"/>
        </w:r>
      </w:hyperlink>
    </w:p>
    <w:p w14:paraId="1AB0A0D7" w14:textId="0417F81D" w:rsidR="00033685" w:rsidRDefault="00033685" w:rsidP="003D2570">
      <w:pPr>
        <w:pStyle w:val="ListParagraph"/>
        <w:shd w:val="clear" w:color="auto" w:fill="FFFFFF"/>
        <w:spacing w:after="240"/>
        <w:ind w:left="360"/>
        <w:jc w:val="both"/>
        <w:rPr>
          <w:rFonts w:ascii="Times" w:hAnsi="Times" w:cs="Open Sans"/>
          <w:b/>
          <w:bCs/>
          <w:color w:val="000000" w:themeColor="text1"/>
        </w:rPr>
      </w:pPr>
      <w:r>
        <w:rPr>
          <w:rFonts w:ascii="Times" w:hAnsi="Times" w:cs="Open Sans"/>
          <w:b/>
          <w:bCs/>
          <w:color w:val="000000" w:themeColor="text1"/>
        </w:rPr>
        <w:fldChar w:fldCharType="end"/>
      </w:r>
    </w:p>
    <w:p w14:paraId="60A57EFB" w14:textId="77777777" w:rsidR="00033685" w:rsidRPr="00A71595" w:rsidRDefault="00033685" w:rsidP="003D2570">
      <w:pPr>
        <w:pStyle w:val="ListParagraph"/>
        <w:shd w:val="clear" w:color="auto" w:fill="FFFFFF"/>
        <w:spacing w:after="240"/>
        <w:ind w:left="360"/>
        <w:jc w:val="both"/>
        <w:rPr>
          <w:rFonts w:ascii="Times" w:hAnsi="Times" w:cs="Open Sans"/>
          <w:b/>
          <w:bCs/>
          <w:color w:val="000000" w:themeColor="text1"/>
        </w:rPr>
      </w:pPr>
    </w:p>
    <w:p w14:paraId="61827E7E" w14:textId="77777777" w:rsidR="00033685" w:rsidRDefault="00033685">
      <w:pPr>
        <w:rPr>
          <w:rFonts w:eastAsiaTheme="majorEastAsia"/>
          <w:b/>
          <w:bCs/>
          <w:color w:val="000000" w:themeColor="text1"/>
          <w:u w:val="single"/>
        </w:rPr>
      </w:pPr>
      <w:bookmarkStart w:id="0" w:name="_Toc128532588"/>
      <w:r>
        <w:br w:type="page"/>
      </w:r>
    </w:p>
    <w:p w14:paraId="51F4D75D" w14:textId="3D1ECBF0" w:rsidR="003D2570" w:rsidRPr="00E3746D" w:rsidRDefault="003D2570" w:rsidP="00E3746D">
      <w:pPr>
        <w:pStyle w:val="Heading1"/>
      </w:pPr>
      <w:r w:rsidRPr="00E3746D">
        <w:lastRenderedPageBreak/>
        <w:t>Introduction</w:t>
      </w:r>
      <w:bookmarkEnd w:id="0"/>
    </w:p>
    <w:p w14:paraId="00DCCB65" w14:textId="77777777" w:rsidR="003D2570" w:rsidRPr="00A71595" w:rsidRDefault="003D2570" w:rsidP="00335BBC">
      <w:pPr>
        <w:pStyle w:val="ListParagraph"/>
        <w:shd w:val="clear" w:color="auto" w:fill="FFFFFF"/>
        <w:spacing w:after="240" w:line="360" w:lineRule="auto"/>
        <w:ind w:left="360"/>
        <w:jc w:val="both"/>
        <w:rPr>
          <w:rFonts w:ascii="Times" w:hAnsi="Times" w:cs="Open Sans"/>
          <w:b/>
          <w:bCs/>
          <w:color w:val="000000" w:themeColor="text1"/>
        </w:rPr>
      </w:pPr>
    </w:p>
    <w:p w14:paraId="003873F2" w14:textId="6FAA37E0" w:rsidR="003D2570" w:rsidRPr="00A71595" w:rsidRDefault="00531BCD"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A71595">
        <w:rPr>
          <w:rFonts w:ascii="Times" w:hAnsi="Times" w:cs="Open Sans"/>
          <w:color w:val="000000" w:themeColor="text1"/>
        </w:rPr>
        <w:t>A</w:t>
      </w:r>
      <w:r w:rsidR="003D2570" w:rsidRPr="00A71595">
        <w:rPr>
          <w:rFonts w:ascii="Times" w:hAnsi="Times" w:cs="Open Sans"/>
          <w:color w:val="000000" w:themeColor="text1"/>
        </w:rPr>
        <w:t xml:space="preserve"> statute which reverse</w:t>
      </w:r>
      <w:r w:rsidR="00B14606">
        <w:rPr>
          <w:rFonts w:ascii="Times" w:hAnsi="Times" w:cs="Open Sans"/>
          <w:color w:val="000000" w:themeColor="text1"/>
        </w:rPr>
        <w:t>s</w:t>
      </w:r>
      <w:r w:rsidR="003D2570" w:rsidRPr="00A71595">
        <w:rPr>
          <w:rFonts w:ascii="Times" w:hAnsi="Times" w:cs="Open Sans"/>
          <w:color w:val="000000" w:themeColor="text1"/>
        </w:rPr>
        <w:t xml:space="preserve"> the onus of proof, cast</w:t>
      </w:r>
      <w:r w:rsidR="0029136B">
        <w:rPr>
          <w:rFonts w:ascii="Times" w:hAnsi="Times" w:cs="Open Sans"/>
          <w:color w:val="000000" w:themeColor="text1"/>
        </w:rPr>
        <w:t>ing</w:t>
      </w:r>
      <w:r w:rsidR="003D2570" w:rsidRPr="00A71595">
        <w:rPr>
          <w:rFonts w:ascii="Times" w:hAnsi="Times" w:cs="Open Sans"/>
          <w:color w:val="000000" w:themeColor="text1"/>
        </w:rPr>
        <w:t xml:space="preserve"> a legal burden on</w:t>
      </w:r>
      <w:r w:rsidR="00A34E1D">
        <w:rPr>
          <w:rFonts w:ascii="Times" w:hAnsi="Times" w:cs="Open Sans"/>
          <w:color w:val="000000" w:themeColor="text1"/>
        </w:rPr>
        <w:t>to</w:t>
      </w:r>
      <w:r w:rsidR="003D2570" w:rsidRPr="00A71595">
        <w:rPr>
          <w:rFonts w:ascii="Times" w:hAnsi="Times" w:cs="Open Sans"/>
          <w:color w:val="000000" w:themeColor="text1"/>
        </w:rPr>
        <w:t xml:space="preserve"> </w:t>
      </w:r>
      <w:r w:rsidR="00A34E1D">
        <w:rPr>
          <w:rFonts w:ascii="Times" w:hAnsi="Times" w:cs="Open Sans"/>
          <w:color w:val="000000" w:themeColor="text1"/>
        </w:rPr>
        <w:t>the</w:t>
      </w:r>
      <w:r w:rsidR="003D2570" w:rsidRPr="00A71595">
        <w:rPr>
          <w:rFonts w:ascii="Times" w:hAnsi="Times" w:cs="Open Sans"/>
          <w:color w:val="000000" w:themeColor="text1"/>
        </w:rPr>
        <w:t xml:space="preserve"> accused to disprove a</w:t>
      </w:r>
      <w:r w:rsidR="00A34E1D">
        <w:rPr>
          <w:rFonts w:ascii="Times" w:hAnsi="Times" w:cs="Open Sans"/>
          <w:color w:val="000000" w:themeColor="text1"/>
        </w:rPr>
        <w:t>n</w:t>
      </w:r>
      <w:r w:rsidR="003D2570" w:rsidRPr="00A71595">
        <w:rPr>
          <w:rFonts w:ascii="Times" w:hAnsi="Times" w:cs="Open Sans"/>
          <w:color w:val="000000" w:themeColor="text1"/>
        </w:rPr>
        <w:t xml:space="preserve"> element of an offence, interferes with </w:t>
      </w:r>
      <w:r w:rsidR="00430197">
        <w:rPr>
          <w:rFonts w:ascii="Times" w:hAnsi="Times" w:cs="Open Sans"/>
          <w:color w:val="000000" w:themeColor="text1"/>
        </w:rPr>
        <w:t xml:space="preserve">a </w:t>
      </w:r>
      <w:r w:rsidR="003D2570" w:rsidRPr="00A71595">
        <w:rPr>
          <w:rFonts w:ascii="Times" w:hAnsi="Times" w:cs="Open Sans"/>
          <w:color w:val="000000" w:themeColor="text1"/>
        </w:rPr>
        <w:t xml:space="preserve">core </w:t>
      </w:r>
      <w:r w:rsidR="0029136B">
        <w:rPr>
          <w:rFonts w:ascii="Times" w:hAnsi="Times" w:cs="Open Sans"/>
          <w:color w:val="000000" w:themeColor="text1"/>
        </w:rPr>
        <w:t xml:space="preserve">procedural right </w:t>
      </w:r>
      <w:r w:rsidR="0017443D">
        <w:rPr>
          <w:rFonts w:ascii="Times" w:hAnsi="Times" w:cs="Open Sans"/>
          <w:color w:val="000000" w:themeColor="text1"/>
        </w:rPr>
        <w:t>protected by</w:t>
      </w:r>
      <w:r w:rsidR="003D2570" w:rsidRPr="00A71595">
        <w:rPr>
          <w:rFonts w:ascii="Times" w:hAnsi="Times" w:cs="Open Sans"/>
          <w:color w:val="000000" w:themeColor="text1"/>
        </w:rPr>
        <w:t xml:space="preserve"> Article 38.1 of the Constitution. </w:t>
      </w:r>
      <w:r w:rsidRPr="00A71595">
        <w:rPr>
          <w:rFonts w:ascii="Times" w:hAnsi="Times" w:cs="Open Sans"/>
          <w:color w:val="000000" w:themeColor="text1"/>
        </w:rPr>
        <w:t xml:space="preserve">The </w:t>
      </w:r>
      <w:r w:rsidRPr="00A71595">
        <w:rPr>
          <w:rFonts w:ascii="Times" w:hAnsi="Times" w:cs="Open Sans"/>
          <w:i/>
          <w:iCs/>
          <w:color w:val="000000" w:themeColor="text1"/>
        </w:rPr>
        <w:t>Amicus Curiae</w:t>
      </w:r>
      <w:r w:rsidRPr="00A71595">
        <w:rPr>
          <w:rFonts w:ascii="Times" w:hAnsi="Times" w:cs="Open Sans"/>
          <w:color w:val="000000" w:themeColor="text1"/>
        </w:rPr>
        <w:t xml:space="preserve"> (‘the Commission’) submits that </w:t>
      </w:r>
      <w:r w:rsidR="00C542C1">
        <w:rPr>
          <w:rFonts w:ascii="Times" w:hAnsi="Times" w:cs="Open Sans"/>
          <w:color w:val="000000" w:themeColor="text1"/>
        </w:rPr>
        <w:t xml:space="preserve"> compelling justification is required for</w:t>
      </w:r>
      <w:r w:rsidR="00C542C1" w:rsidRPr="00A71595">
        <w:rPr>
          <w:rFonts w:ascii="Times" w:hAnsi="Times" w:cs="Open Sans"/>
          <w:color w:val="000000" w:themeColor="text1"/>
        </w:rPr>
        <w:t xml:space="preserve"> </w:t>
      </w:r>
      <w:r w:rsidR="00C542C1">
        <w:rPr>
          <w:rFonts w:ascii="Times" w:hAnsi="Times" w:cs="Open Sans"/>
          <w:color w:val="000000" w:themeColor="text1"/>
        </w:rPr>
        <w:t xml:space="preserve">such </w:t>
      </w:r>
      <w:r w:rsidR="00C7213D">
        <w:rPr>
          <w:rFonts w:ascii="Times" w:hAnsi="Times" w:cs="Open Sans"/>
          <w:color w:val="000000" w:themeColor="text1"/>
        </w:rPr>
        <w:t>a</w:t>
      </w:r>
      <w:r w:rsidR="008226C9">
        <w:rPr>
          <w:rFonts w:ascii="Times" w:hAnsi="Times" w:cs="Open Sans"/>
          <w:color w:val="000000" w:themeColor="text1"/>
        </w:rPr>
        <w:t xml:space="preserve"> step and that the Court must be satisfied that the</w:t>
      </w:r>
      <w:r w:rsidR="00C7213D">
        <w:rPr>
          <w:rFonts w:ascii="Times" w:hAnsi="Times" w:cs="Open Sans"/>
          <w:color w:val="000000" w:themeColor="text1"/>
        </w:rPr>
        <w:t xml:space="preserve"> </w:t>
      </w:r>
      <w:r w:rsidR="003D2570" w:rsidRPr="00A71595">
        <w:rPr>
          <w:rFonts w:ascii="Times" w:hAnsi="Times" w:cs="Open Sans"/>
          <w:color w:val="000000" w:themeColor="text1"/>
        </w:rPr>
        <w:t>interference</w:t>
      </w:r>
      <w:r w:rsidR="008226C9">
        <w:rPr>
          <w:rFonts w:ascii="Times" w:hAnsi="Times" w:cs="Open Sans"/>
          <w:color w:val="000000" w:themeColor="text1"/>
        </w:rPr>
        <w:t xml:space="preserve"> is not so great as to render a trial for such an offence otherwise than “in due course of law” in the sense in which that phrase is used in Article 38</w:t>
      </w:r>
      <w:r w:rsidR="003D2570" w:rsidRPr="00A71595">
        <w:rPr>
          <w:rFonts w:ascii="Times" w:hAnsi="Times" w:cs="Open Sans"/>
          <w:color w:val="000000" w:themeColor="text1"/>
        </w:rPr>
        <w:t xml:space="preserve">. </w:t>
      </w:r>
    </w:p>
    <w:p w14:paraId="67726C5E" w14:textId="77777777" w:rsidR="003D2570" w:rsidRPr="00A71595" w:rsidRDefault="003D2570" w:rsidP="00335BBC">
      <w:pPr>
        <w:pStyle w:val="ListParagraph"/>
        <w:shd w:val="clear" w:color="auto" w:fill="FFFFFF"/>
        <w:spacing w:after="240" w:line="360" w:lineRule="auto"/>
        <w:ind w:left="360"/>
        <w:jc w:val="both"/>
        <w:rPr>
          <w:rFonts w:ascii="Times" w:hAnsi="Times" w:cs="Open Sans"/>
          <w:color w:val="000000" w:themeColor="text1"/>
        </w:rPr>
      </w:pPr>
    </w:p>
    <w:p w14:paraId="4F14907F" w14:textId="3935C430" w:rsidR="003D2570" w:rsidRPr="00A71595" w:rsidRDefault="003D4A61"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A71595">
        <w:rPr>
          <w:rFonts w:ascii="Times" w:hAnsi="Times" w:cs="Open Sans"/>
          <w:color w:val="000000" w:themeColor="text1"/>
        </w:rPr>
        <w:t>Transfer of the legal burden c</w:t>
      </w:r>
      <w:r w:rsidR="00FA61E2">
        <w:rPr>
          <w:rFonts w:ascii="Times" w:hAnsi="Times" w:cs="Open Sans"/>
          <w:color w:val="000000" w:themeColor="text1"/>
        </w:rPr>
        <w:t>an</w:t>
      </w:r>
      <w:r w:rsidRPr="00A71595">
        <w:rPr>
          <w:rFonts w:ascii="Times" w:hAnsi="Times" w:cs="Open Sans"/>
          <w:color w:val="000000" w:themeColor="text1"/>
        </w:rPr>
        <w:t xml:space="preserve">not be justified </w:t>
      </w:r>
      <w:r w:rsidR="00C7213D">
        <w:rPr>
          <w:rFonts w:ascii="Times" w:hAnsi="Times" w:cs="Open Sans"/>
          <w:color w:val="000000" w:themeColor="text1"/>
        </w:rPr>
        <w:t xml:space="preserve">solely </w:t>
      </w:r>
      <w:r w:rsidRPr="00A71595">
        <w:rPr>
          <w:rFonts w:ascii="Times" w:hAnsi="Times" w:cs="Open Sans"/>
          <w:color w:val="000000" w:themeColor="text1"/>
        </w:rPr>
        <w:t xml:space="preserve">by reference to the </w:t>
      </w:r>
      <w:r w:rsidR="005A08C5">
        <w:rPr>
          <w:rFonts w:ascii="Times" w:hAnsi="Times" w:cs="Open Sans"/>
          <w:color w:val="000000" w:themeColor="text1"/>
        </w:rPr>
        <w:t xml:space="preserve">gravity of </w:t>
      </w:r>
      <w:r w:rsidR="00FA61E2">
        <w:rPr>
          <w:rFonts w:ascii="Times" w:hAnsi="Times" w:cs="Open Sans"/>
          <w:color w:val="000000" w:themeColor="text1"/>
        </w:rPr>
        <w:t>an</w:t>
      </w:r>
      <w:r w:rsidR="005A08C5">
        <w:rPr>
          <w:rFonts w:ascii="Times" w:hAnsi="Times" w:cs="Open Sans"/>
          <w:color w:val="000000" w:themeColor="text1"/>
        </w:rPr>
        <w:t xml:space="preserve"> offence</w:t>
      </w:r>
      <w:r w:rsidR="00FA61E2">
        <w:rPr>
          <w:rFonts w:ascii="Times" w:hAnsi="Times" w:cs="Open Sans"/>
          <w:color w:val="000000" w:themeColor="text1"/>
        </w:rPr>
        <w:t xml:space="preserve"> or</w:t>
      </w:r>
      <w:r w:rsidR="005A08C5">
        <w:rPr>
          <w:rFonts w:ascii="Times" w:hAnsi="Times" w:cs="Open Sans"/>
          <w:color w:val="000000" w:themeColor="text1"/>
        </w:rPr>
        <w:t xml:space="preserve"> the </w:t>
      </w:r>
      <w:r w:rsidRPr="00A71595">
        <w:rPr>
          <w:rFonts w:ascii="Times" w:hAnsi="Times" w:cs="Open Sans"/>
          <w:color w:val="000000" w:themeColor="text1"/>
        </w:rPr>
        <w:t>importance of the rights protected</w:t>
      </w:r>
      <w:r w:rsidR="0029136B">
        <w:rPr>
          <w:rFonts w:ascii="Times" w:hAnsi="Times" w:cs="Open Sans"/>
          <w:color w:val="000000" w:themeColor="text1"/>
        </w:rPr>
        <w:t xml:space="preserve"> by that offence</w:t>
      </w:r>
      <w:r w:rsidRPr="00A71595">
        <w:rPr>
          <w:rFonts w:ascii="Times" w:hAnsi="Times" w:cs="Open Sans"/>
          <w:color w:val="000000" w:themeColor="text1"/>
        </w:rPr>
        <w:t xml:space="preserve">. </w:t>
      </w:r>
      <w:r w:rsidR="0046569F">
        <w:rPr>
          <w:rFonts w:ascii="Times" w:hAnsi="Times" w:cs="Open Sans"/>
          <w:color w:val="000000" w:themeColor="text1"/>
        </w:rPr>
        <w:t xml:space="preserve">The Commission would </w:t>
      </w:r>
      <w:r w:rsidR="00A0453C">
        <w:rPr>
          <w:rFonts w:ascii="Times" w:hAnsi="Times" w:cs="Open Sans"/>
          <w:color w:val="000000" w:themeColor="text1"/>
        </w:rPr>
        <w:t>endorse</w:t>
      </w:r>
      <w:r w:rsidR="0046569F">
        <w:rPr>
          <w:rFonts w:ascii="Times" w:hAnsi="Times" w:cs="Open Sans"/>
          <w:color w:val="000000" w:themeColor="text1"/>
        </w:rPr>
        <w:t xml:space="preserve"> the standard applied in case</w:t>
      </w:r>
      <w:r w:rsidR="00A0453C">
        <w:rPr>
          <w:rFonts w:ascii="Times" w:hAnsi="Times" w:cs="Open Sans"/>
          <w:color w:val="000000" w:themeColor="text1"/>
        </w:rPr>
        <w:t>s</w:t>
      </w:r>
      <w:r w:rsidR="0046569F">
        <w:rPr>
          <w:rFonts w:ascii="Times" w:hAnsi="Times" w:cs="Open Sans"/>
          <w:color w:val="000000" w:themeColor="text1"/>
        </w:rPr>
        <w:t xml:space="preserve"> such as </w:t>
      </w:r>
      <w:r w:rsidR="0046569F" w:rsidRPr="00A0453C">
        <w:rPr>
          <w:rFonts w:ascii="Times" w:hAnsi="Times" w:cs="Open Sans"/>
          <w:i/>
          <w:iCs/>
          <w:color w:val="000000" w:themeColor="text1"/>
        </w:rPr>
        <w:t>R v Chaulk</w:t>
      </w:r>
      <w:r w:rsidR="009E610F">
        <w:rPr>
          <w:rStyle w:val="FootnoteReference"/>
          <w:rFonts w:ascii="Times" w:hAnsi="Times" w:cs="Open Sans"/>
          <w:i/>
          <w:iCs/>
          <w:color w:val="000000" w:themeColor="text1"/>
        </w:rPr>
        <w:footnoteReference w:id="1"/>
      </w:r>
      <w:r w:rsidR="00A0453C">
        <w:rPr>
          <w:rFonts w:ascii="Times" w:hAnsi="Times" w:cs="Open Sans"/>
          <w:color w:val="000000" w:themeColor="text1"/>
        </w:rPr>
        <w:t>:</w:t>
      </w:r>
      <w:r w:rsidR="0046569F">
        <w:rPr>
          <w:rFonts w:ascii="Times" w:hAnsi="Times" w:cs="Open Sans"/>
          <w:color w:val="000000" w:themeColor="text1"/>
        </w:rPr>
        <w:t xml:space="preserve"> that </w:t>
      </w:r>
      <w:r w:rsidR="003D2570" w:rsidRPr="00A71595">
        <w:rPr>
          <w:rFonts w:ascii="Times" w:hAnsi="Times" w:cs="Open Sans"/>
          <w:color w:val="000000" w:themeColor="text1"/>
        </w:rPr>
        <w:t xml:space="preserve">justification </w:t>
      </w:r>
      <w:r w:rsidR="0046569F">
        <w:rPr>
          <w:rFonts w:ascii="Times" w:hAnsi="Times" w:cs="Open Sans"/>
          <w:color w:val="000000" w:themeColor="text1"/>
        </w:rPr>
        <w:t xml:space="preserve">for the transfer </w:t>
      </w:r>
      <w:r w:rsidR="00A0453C">
        <w:rPr>
          <w:rFonts w:ascii="Times" w:hAnsi="Times" w:cs="Open Sans"/>
          <w:color w:val="000000" w:themeColor="text1"/>
        </w:rPr>
        <w:t xml:space="preserve">of the legal burden </w:t>
      </w:r>
      <w:r w:rsidR="008226C9">
        <w:rPr>
          <w:rFonts w:ascii="Times" w:hAnsi="Times" w:cs="Open Sans"/>
          <w:color w:val="000000" w:themeColor="text1"/>
        </w:rPr>
        <w:t>requires that</w:t>
      </w:r>
      <w:r w:rsidR="003D2570" w:rsidRPr="00A71595">
        <w:rPr>
          <w:rFonts w:ascii="Times" w:hAnsi="Times" w:cs="Open Sans"/>
          <w:color w:val="000000" w:themeColor="text1"/>
        </w:rPr>
        <w:t xml:space="preserve"> </w:t>
      </w:r>
      <w:r w:rsidR="00E30B11">
        <w:rPr>
          <w:rFonts w:ascii="Times" w:hAnsi="Times" w:cs="Open Sans"/>
          <w:color w:val="000000" w:themeColor="text1"/>
        </w:rPr>
        <w:t xml:space="preserve">the </w:t>
      </w:r>
      <w:r w:rsidR="0029136B">
        <w:rPr>
          <w:rFonts w:ascii="Times" w:hAnsi="Times" w:cs="Open Sans"/>
          <w:color w:val="000000" w:themeColor="text1"/>
        </w:rPr>
        <w:t>pro</w:t>
      </w:r>
      <w:r w:rsidR="0046569F">
        <w:rPr>
          <w:rFonts w:ascii="Times" w:hAnsi="Times" w:cs="Open Sans"/>
          <w:color w:val="000000" w:themeColor="text1"/>
        </w:rPr>
        <w:t xml:space="preserve">secution of the </w:t>
      </w:r>
      <w:r w:rsidR="003D2570" w:rsidRPr="00A71595">
        <w:rPr>
          <w:rFonts w:ascii="Times" w:hAnsi="Times" w:cs="Open Sans"/>
          <w:color w:val="000000" w:themeColor="text1"/>
        </w:rPr>
        <w:t xml:space="preserve">offence would </w:t>
      </w:r>
      <w:r w:rsidR="00A0453C">
        <w:rPr>
          <w:rFonts w:ascii="Times" w:hAnsi="Times" w:cs="Open Sans"/>
          <w:color w:val="000000" w:themeColor="text1"/>
        </w:rPr>
        <w:t xml:space="preserve">otherwise </w:t>
      </w:r>
      <w:r w:rsidR="003D2570" w:rsidRPr="00A71595">
        <w:rPr>
          <w:rFonts w:ascii="Times" w:hAnsi="Times" w:cs="Open Sans"/>
          <w:color w:val="000000" w:themeColor="text1"/>
        </w:rPr>
        <w:t xml:space="preserve">be rendered </w:t>
      </w:r>
      <w:r w:rsidR="0046569F">
        <w:rPr>
          <w:rFonts w:ascii="Times" w:hAnsi="Times" w:cs="Open Sans"/>
          <w:color w:val="000000" w:themeColor="text1"/>
        </w:rPr>
        <w:t>‘unworkable’</w:t>
      </w:r>
      <w:r w:rsidR="00FA61E2">
        <w:rPr>
          <w:rFonts w:ascii="Times" w:hAnsi="Times" w:cs="Open Sans"/>
          <w:color w:val="000000" w:themeColor="text1"/>
        </w:rPr>
        <w:t>.</w:t>
      </w:r>
      <w:r w:rsidR="007B1640">
        <w:rPr>
          <w:rFonts w:ascii="Times" w:hAnsi="Times" w:cs="Open Sans"/>
          <w:color w:val="000000" w:themeColor="text1"/>
        </w:rPr>
        <w:t xml:space="preserve"> Even then, such justification </w:t>
      </w:r>
      <w:r w:rsidR="008226C9">
        <w:rPr>
          <w:rFonts w:ascii="Times" w:hAnsi="Times" w:cs="Open Sans"/>
          <w:color w:val="000000" w:themeColor="text1"/>
        </w:rPr>
        <w:t xml:space="preserve">has previously been found </w:t>
      </w:r>
      <w:r w:rsidR="007B1640">
        <w:rPr>
          <w:rFonts w:ascii="Times" w:hAnsi="Times" w:cs="Open Sans"/>
          <w:color w:val="000000" w:themeColor="text1"/>
        </w:rPr>
        <w:t>to exist</w:t>
      </w:r>
      <w:r w:rsidR="008226C9">
        <w:rPr>
          <w:rFonts w:ascii="Times" w:hAnsi="Times" w:cs="Open Sans"/>
          <w:color w:val="000000" w:themeColor="text1"/>
        </w:rPr>
        <w:t xml:space="preserve"> in Irish law</w:t>
      </w:r>
      <w:r w:rsidR="007B1640">
        <w:rPr>
          <w:rFonts w:ascii="Times" w:hAnsi="Times" w:cs="Open Sans"/>
          <w:color w:val="000000" w:themeColor="text1"/>
        </w:rPr>
        <w:t xml:space="preserve"> only in the case of </w:t>
      </w:r>
      <w:r w:rsidR="008226C9">
        <w:rPr>
          <w:rFonts w:ascii="Times" w:hAnsi="Times" w:cs="Open Sans"/>
          <w:color w:val="000000" w:themeColor="text1"/>
        </w:rPr>
        <w:t xml:space="preserve">a </w:t>
      </w:r>
      <w:r w:rsidR="007B1640">
        <w:rPr>
          <w:rFonts w:ascii="Times" w:hAnsi="Times" w:cs="Open Sans"/>
          <w:color w:val="000000" w:themeColor="text1"/>
        </w:rPr>
        <w:t>regulatory offence</w:t>
      </w:r>
      <w:r w:rsidR="00A0453C">
        <w:rPr>
          <w:rFonts w:ascii="Times" w:hAnsi="Times" w:cs="Open Sans"/>
          <w:color w:val="000000" w:themeColor="text1"/>
        </w:rPr>
        <w:t xml:space="preserve"> or having regard to the unique considerations that </w:t>
      </w:r>
      <w:r w:rsidR="008226C9">
        <w:rPr>
          <w:rFonts w:ascii="Times" w:hAnsi="Times" w:cs="Open Sans"/>
          <w:color w:val="000000" w:themeColor="text1"/>
        </w:rPr>
        <w:t xml:space="preserve">arise from </w:t>
      </w:r>
      <w:r w:rsidR="00A0453C">
        <w:rPr>
          <w:rFonts w:ascii="Times" w:hAnsi="Times" w:cs="Open Sans"/>
          <w:color w:val="000000" w:themeColor="text1"/>
        </w:rPr>
        <w:t xml:space="preserve">the </w:t>
      </w:r>
      <w:r w:rsidR="008226C9">
        <w:rPr>
          <w:rFonts w:ascii="Times" w:hAnsi="Times" w:cs="Open Sans"/>
          <w:color w:val="000000" w:themeColor="text1"/>
        </w:rPr>
        <w:t>presence of mental disorder</w:t>
      </w:r>
      <w:r w:rsidR="007B1640">
        <w:rPr>
          <w:rFonts w:ascii="Times" w:hAnsi="Times" w:cs="Open Sans"/>
          <w:color w:val="000000" w:themeColor="text1"/>
        </w:rPr>
        <w:t>.</w:t>
      </w:r>
    </w:p>
    <w:p w14:paraId="62F825FC" w14:textId="77777777" w:rsidR="003D2570" w:rsidRPr="00A71595" w:rsidRDefault="003D2570" w:rsidP="00335BBC">
      <w:pPr>
        <w:pStyle w:val="ListParagraph"/>
        <w:spacing w:line="360" w:lineRule="auto"/>
        <w:jc w:val="both"/>
        <w:rPr>
          <w:rFonts w:ascii="Times" w:hAnsi="Times" w:cs="Open Sans"/>
          <w:color w:val="000000" w:themeColor="text1"/>
        </w:rPr>
      </w:pPr>
    </w:p>
    <w:p w14:paraId="39BC70F9" w14:textId="73A52435" w:rsidR="003D2570" w:rsidRDefault="003D2570"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A71595">
        <w:rPr>
          <w:rFonts w:ascii="Times" w:hAnsi="Times" w:cs="Open Sans"/>
          <w:color w:val="000000" w:themeColor="text1"/>
        </w:rPr>
        <w:t xml:space="preserve">It is submitted that this test </w:t>
      </w:r>
      <w:r w:rsidR="00FA61E2">
        <w:rPr>
          <w:rFonts w:ascii="Times" w:hAnsi="Times" w:cs="Open Sans"/>
          <w:color w:val="000000" w:themeColor="text1"/>
        </w:rPr>
        <w:t>has not</w:t>
      </w:r>
      <w:r w:rsidR="0029136B">
        <w:rPr>
          <w:rFonts w:ascii="Times" w:hAnsi="Times" w:cs="Open Sans"/>
          <w:color w:val="000000" w:themeColor="text1"/>
        </w:rPr>
        <w:t xml:space="preserve"> </w:t>
      </w:r>
      <w:r w:rsidR="00FA61E2">
        <w:rPr>
          <w:rFonts w:ascii="Times" w:hAnsi="Times" w:cs="Open Sans"/>
          <w:color w:val="000000" w:themeColor="text1"/>
        </w:rPr>
        <w:t>been</w:t>
      </w:r>
      <w:r w:rsidR="0029136B">
        <w:rPr>
          <w:rFonts w:ascii="Times" w:hAnsi="Times" w:cs="Open Sans"/>
          <w:color w:val="000000" w:themeColor="text1"/>
        </w:rPr>
        <w:t xml:space="preserve"> met,</w:t>
      </w:r>
      <w:r w:rsidRPr="00A71595">
        <w:rPr>
          <w:rFonts w:ascii="Times" w:hAnsi="Times" w:cs="Open Sans"/>
          <w:color w:val="000000" w:themeColor="text1"/>
        </w:rPr>
        <w:t xml:space="preserve"> in respect of S.</w:t>
      </w:r>
      <w:r w:rsidR="0029136B">
        <w:rPr>
          <w:rFonts w:ascii="Times" w:hAnsi="Times" w:cs="Open Sans"/>
          <w:color w:val="000000" w:themeColor="text1"/>
        </w:rPr>
        <w:t>3(5) of the Criminal Law (Sexual Offences) Act</w:t>
      </w:r>
      <w:r w:rsidRPr="00A71595">
        <w:rPr>
          <w:rFonts w:ascii="Times" w:hAnsi="Times" w:cs="Open Sans"/>
          <w:color w:val="000000" w:themeColor="text1"/>
        </w:rPr>
        <w:t xml:space="preserve"> of </w:t>
      </w:r>
      <w:r w:rsidR="0029136B">
        <w:rPr>
          <w:rFonts w:ascii="Times" w:hAnsi="Times" w:cs="Open Sans"/>
          <w:color w:val="000000" w:themeColor="text1"/>
        </w:rPr>
        <w:t>2006 as amended</w:t>
      </w:r>
      <w:r w:rsidRPr="00A71595">
        <w:rPr>
          <w:rFonts w:ascii="Times" w:hAnsi="Times" w:cs="Open Sans"/>
          <w:color w:val="000000" w:themeColor="text1"/>
        </w:rPr>
        <w:t>. Accordingly, the High Court correctly concluded that th</w:t>
      </w:r>
      <w:r w:rsidR="0029136B">
        <w:rPr>
          <w:rFonts w:ascii="Times" w:hAnsi="Times" w:cs="Open Sans"/>
          <w:color w:val="000000" w:themeColor="text1"/>
        </w:rPr>
        <w:t>e</w:t>
      </w:r>
      <w:r w:rsidRPr="00A71595">
        <w:rPr>
          <w:rFonts w:ascii="Times" w:hAnsi="Times" w:cs="Open Sans"/>
          <w:color w:val="000000" w:themeColor="text1"/>
        </w:rPr>
        <w:t xml:space="preserve"> section </w:t>
      </w:r>
      <w:r w:rsidR="005A08C5">
        <w:rPr>
          <w:rFonts w:ascii="Times" w:hAnsi="Times" w:cs="Open Sans"/>
          <w:color w:val="000000" w:themeColor="text1"/>
        </w:rPr>
        <w:t>wa</w:t>
      </w:r>
      <w:r w:rsidRPr="00A71595">
        <w:rPr>
          <w:rFonts w:ascii="Times" w:hAnsi="Times" w:cs="Open Sans"/>
          <w:color w:val="000000" w:themeColor="text1"/>
        </w:rPr>
        <w:t>s inco</w:t>
      </w:r>
      <w:r w:rsidR="0029136B">
        <w:rPr>
          <w:rFonts w:ascii="Times" w:hAnsi="Times" w:cs="Open Sans"/>
          <w:color w:val="000000" w:themeColor="text1"/>
        </w:rPr>
        <w:t>mpatible</w:t>
      </w:r>
      <w:r w:rsidRPr="00A71595">
        <w:rPr>
          <w:rFonts w:ascii="Times" w:hAnsi="Times" w:cs="Open Sans"/>
          <w:color w:val="000000" w:themeColor="text1"/>
        </w:rPr>
        <w:t xml:space="preserve"> with the Constitution.</w:t>
      </w:r>
    </w:p>
    <w:p w14:paraId="22302614" w14:textId="77777777" w:rsidR="003478B1" w:rsidRPr="003478B1" w:rsidRDefault="003478B1" w:rsidP="00335BBC">
      <w:pPr>
        <w:pStyle w:val="ListParagraph"/>
        <w:spacing w:line="360" w:lineRule="auto"/>
        <w:rPr>
          <w:rFonts w:ascii="Times" w:hAnsi="Times" w:cs="Open Sans"/>
          <w:color w:val="000000" w:themeColor="text1"/>
        </w:rPr>
      </w:pPr>
    </w:p>
    <w:p w14:paraId="4B6E8015" w14:textId="7D01E97B" w:rsidR="003478B1" w:rsidRPr="00A71595" w:rsidRDefault="003478B1" w:rsidP="00E3746D">
      <w:pPr>
        <w:pStyle w:val="Heading1"/>
      </w:pPr>
      <w:bookmarkStart w:id="1" w:name="_Toc128532589"/>
      <w:r w:rsidRPr="00A71595">
        <w:t xml:space="preserve">The constitutional values and rights underlying the </w:t>
      </w:r>
      <w:r w:rsidR="00AF2AA7">
        <w:t>right to a fair trial</w:t>
      </w:r>
      <w:bookmarkEnd w:id="1"/>
    </w:p>
    <w:p w14:paraId="69347FEA" w14:textId="77777777" w:rsidR="003478B1" w:rsidRPr="00A71595" w:rsidRDefault="003478B1" w:rsidP="00335BBC">
      <w:pPr>
        <w:spacing w:line="360" w:lineRule="auto"/>
        <w:ind w:firstLine="360"/>
        <w:jc w:val="both"/>
        <w:rPr>
          <w:rFonts w:ascii="Times" w:hAnsi="Times" w:cs="Open Sans"/>
          <w:b/>
          <w:bCs/>
          <w:color w:val="000000" w:themeColor="text1"/>
        </w:rPr>
      </w:pPr>
    </w:p>
    <w:p w14:paraId="0F2874D6" w14:textId="3F806B4A" w:rsidR="003478B1" w:rsidRPr="00183185" w:rsidRDefault="003478B1" w:rsidP="00335BBC">
      <w:pPr>
        <w:pStyle w:val="ListParagraph"/>
        <w:numPr>
          <w:ilvl w:val="0"/>
          <w:numId w:val="2"/>
        </w:numPr>
        <w:spacing w:line="360" w:lineRule="auto"/>
        <w:jc w:val="both"/>
        <w:rPr>
          <w:rFonts w:ascii="Times" w:hAnsi="Times"/>
          <w:i/>
          <w:iCs/>
        </w:rPr>
      </w:pPr>
      <w:r>
        <w:rPr>
          <w:rFonts w:ascii="Times" w:hAnsi="Times"/>
        </w:rPr>
        <w:t xml:space="preserve">Although the parties </w:t>
      </w:r>
      <w:r w:rsidR="00BF3627">
        <w:rPr>
          <w:rFonts w:ascii="Times" w:hAnsi="Times"/>
        </w:rPr>
        <w:t xml:space="preserve">have rightly characterised the right </w:t>
      </w:r>
      <w:r w:rsidR="00183185">
        <w:rPr>
          <w:rFonts w:ascii="Times" w:hAnsi="Times"/>
        </w:rPr>
        <w:t>at issue</w:t>
      </w:r>
      <w:r w:rsidR="00BF3627">
        <w:rPr>
          <w:rFonts w:ascii="Times" w:hAnsi="Times"/>
        </w:rPr>
        <w:t xml:space="preserve"> in these proceedings</w:t>
      </w:r>
      <w:r>
        <w:rPr>
          <w:rFonts w:ascii="Times" w:hAnsi="Times"/>
        </w:rPr>
        <w:t xml:space="preserve"> </w:t>
      </w:r>
      <w:r w:rsidR="00BF3627">
        <w:rPr>
          <w:rFonts w:ascii="Times" w:hAnsi="Times"/>
        </w:rPr>
        <w:t>as</w:t>
      </w:r>
      <w:r>
        <w:rPr>
          <w:rFonts w:ascii="Times" w:hAnsi="Times"/>
        </w:rPr>
        <w:t xml:space="preserve"> </w:t>
      </w:r>
      <w:r w:rsidR="00BF3627">
        <w:rPr>
          <w:rFonts w:ascii="Times" w:hAnsi="Times"/>
        </w:rPr>
        <w:t xml:space="preserve">the </w:t>
      </w:r>
      <w:r>
        <w:rPr>
          <w:rFonts w:ascii="Times" w:hAnsi="Times"/>
        </w:rPr>
        <w:t xml:space="preserve">presumption of innocence, </w:t>
      </w:r>
      <w:r w:rsidR="0096610B">
        <w:rPr>
          <w:rFonts w:ascii="Times" w:hAnsi="Times"/>
        </w:rPr>
        <w:t>the</w:t>
      </w:r>
      <w:r w:rsidR="001028F2">
        <w:rPr>
          <w:rFonts w:ascii="Times" w:hAnsi="Times"/>
        </w:rPr>
        <w:t xml:space="preserve"> </w:t>
      </w:r>
      <w:r>
        <w:rPr>
          <w:rFonts w:ascii="Times" w:hAnsi="Times"/>
        </w:rPr>
        <w:t xml:space="preserve">protection </w:t>
      </w:r>
      <w:r w:rsidR="00183185">
        <w:rPr>
          <w:rFonts w:ascii="Times" w:hAnsi="Times"/>
        </w:rPr>
        <w:t xml:space="preserve">which is </w:t>
      </w:r>
      <w:r w:rsidR="00BF3627">
        <w:rPr>
          <w:rFonts w:ascii="Times" w:hAnsi="Times"/>
        </w:rPr>
        <w:t>threatened by the impugned statute</w:t>
      </w:r>
      <w:r>
        <w:rPr>
          <w:rFonts w:ascii="Times" w:hAnsi="Times"/>
        </w:rPr>
        <w:t xml:space="preserve"> is its corollary</w:t>
      </w:r>
      <w:r w:rsidR="00C7213D">
        <w:rPr>
          <w:rStyle w:val="FootnoteReference"/>
          <w:rFonts w:ascii="Times" w:hAnsi="Times"/>
        </w:rPr>
        <w:footnoteReference w:id="2"/>
      </w:r>
      <w:r w:rsidR="00BF3627">
        <w:rPr>
          <w:rFonts w:ascii="Times" w:hAnsi="Times"/>
        </w:rPr>
        <w:t>:</w:t>
      </w:r>
      <w:r>
        <w:rPr>
          <w:rFonts w:ascii="Times" w:hAnsi="Times"/>
        </w:rPr>
        <w:t xml:space="preserve"> proof beyond reasonable doubt. </w:t>
      </w:r>
      <w:r w:rsidR="00BF3627" w:rsidRPr="00183185">
        <w:rPr>
          <w:rFonts w:ascii="Times" w:hAnsi="Times"/>
        </w:rPr>
        <w:t xml:space="preserve">The key question is whether </w:t>
      </w:r>
      <w:r w:rsidRPr="00183185">
        <w:rPr>
          <w:rFonts w:ascii="Times" w:hAnsi="Times"/>
        </w:rPr>
        <w:t xml:space="preserve">a trial resulting in a conviction, notwithstanding that </w:t>
      </w:r>
      <w:r w:rsidR="0096610B" w:rsidRPr="00183185">
        <w:rPr>
          <w:rFonts w:ascii="Times" w:hAnsi="Times"/>
        </w:rPr>
        <w:t xml:space="preserve">a </w:t>
      </w:r>
      <w:r w:rsidR="00FF1B1E" w:rsidRPr="00183185">
        <w:rPr>
          <w:rFonts w:ascii="Times" w:hAnsi="Times"/>
        </w:rPr>
        <w:t xml:space="preserve">reasonable </w:t>
      </w:r>
      <w:r w:rsidRPr="00183185">
        <w:rPr>
          <w:rFonts w:ascii="Times" w:hAnsi="Times"/>
        </w:rPr>
        <w:t xml:space="preserve">doubt </w:t>
      </w:r>
      <w:r w:rsidR="00FF1B1E" w:rsidRPr="00183185">
        <w:rPr>
          <w:rFonts w:ascii="Times" w:hAnsi="Times"/>
        </w:rPr>
        <w:t xml:space="preserve">remains </w:t>
      </w:r>
      <w:r w:rsidRPr="00183185">
        <w:rPr>
          <w:rFonts w:ascii="Times" w:hAnsi="Times"/>
        </w:rPr>
        <w:t xml:space="preserve">as to guilt, </w:t>
      </w:r>
      <w:r w:rsidR="00183185">
        <w:rPr>
          <w:rFonts w:ascii="Times" w:hAnsi="Times"/>
        </w:rPr>
        <w:t xml:space="preserve">can </w:t>
      </w:r>
      <w:r w:rsidRPr="00183185">
        <w:rPr>
          <w:rFonts w:ascii="Times" w:hAnsi="Times"/>
        </w:rPr>
        <w:t>nevertheless be described as a trial in ‘due course of law’</w:t>
      </w:r>
      <w:r w:rsidR="00183185">
        <w:rPr>
          <w:rFonts w:ascii="Times" w:hAnsi="Times"/>
        </w:rPr>
        <w:t>.</w:t>
      </w:r>
      <w:r w:rsidRPr="00183185">
        <w:rPr>
          <w:rFonts w:ascii="Times" w:hAnsi="Times"/>
        </w:rPr>
        <w:t xml:space="preserve"> </w:t>
      </w:r>
    </w:p>
    <w:p w14:paraId="70C62F59" w14:textId="77777777" w:rsidR="00EE59BA" w:rsidRPr="00335BBC" w:rsidRDefault="00EE59BA" w:rsidP="00335BBC">
      <w:pPr>
        <w:spacing w:line="360" w:lineRule="auto"/>
        <w:rPr>
          <w:rFonts w:ascii="Times" w:hAnsi="Times" w:cs="Open Sans"/>
          <w:color w:val="000000" w:themeColor="text1"/>
        </w:rPr>
      </w:pPr>
    </w:p>
    <w:p w14:paraId="7286292E" w14:textId="76635371" w:rsidR="00BF3627" w:rsidRDefault="003478B1"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EE59BA">
        <w:rPr>
          <w:rFonts w:ascii="Times" w:hAnsi="Times" w:cs="Open Sans"/>
          <w:color w:val="000000" w:themeColor="text1"/>
        </w:rPr>
        <w:t xml:space="preserve">Before considering </w:t>
      </w:r>
      <w:r w:rsidR="00BF3627">
        <w:rPr>
          <w:rFonts w:ascii="Times" w:hAnsi="Times" w:cs="Open Sans"/>
          <w:color w:val="000000" w:themeColor="text1"/>
        </w:rPr>
        <w:t>this question</w:t>
      </w:r>
      <w:r w:rsidRPr="00EE59BA">
        <w:rPr>
          <w:rFonts w:ascii="Times" w:hAnsi="Times" w:cs="Open Sans"/>
          <w:color w:val="000000" w:themeColor="text1"/>
        </w:rPr>
        <w:t>, it is necessary to consider the Article 38.1</w:t>
      </w:r>
      <w:r w:rsidR="00EE59BA">
        <w:rPr>
          <w:rFonts w:ascii="Times" w:hAnsi="Times" w:cs="Open Sans"/>
          <w:color w:val="000000" w:themeColor="text1"/>
        </w:rPr>
        <w:t xml:space="preserve"> </w:t>
      </w:r>
      <w:r w:rsidR="0096610B">
        <w:rPr>
          <w:rFonts w:ascii="Times" w:hAnsi="Times" w:cs="Open Sans"/>
          <w:color w:val="000000" w:themeColor="text1"/>
        </w:rPr>
        <w:t>right</w:t>
      </w:r>
      <w:r w:rsidR="009C22D3">
        <w:rPr>
          <w:rFonts w:ascii="Times" w:hAnsi="Times" w:cs="Open Sans"/>
          <w:color w:val="000000" w:themeColor="text1"/>
        </w:rPr>
        <w:t>,</w:t>
      </w:r>
      <w:r w:rsidR="0096610B">
        <w:rPr>
          <w:rFonts w:ascii="Times" w:hAnsi="Times" w:cs="Open Sans"/>
          <w:color w:val="000000" w:themeColor="text1"/>
        </w:rPr>
        <w:t xml:space="preserve"> </w:t>
      </w:r>
      <w:r w:rsidR="00EE59BA">
        <w:rPr>
          <w:rFonts w:ascii="Times" w:hAnsi="Times" w:cs="Open Sans"/>
          <w:color w:val="000000" w:themeColor="text1"/>
        </w:rPr>
        <w:t>a</w:t>
      </w:r>
      <w:r w:rsidR="0096610B">
        <w:rPr>
          <w:rFonts w:ascii="Times" w:hAnsi="Times" w:cs="Open Sans"/>
          <w:color w:val="000000" w:themeColor="text1"/>
        </w:rPr>
        <w:t>s well as</w:t>
      </w:r>
      <w:r w:rsidR="00EE59BA">
        <w:rPr>
          <w:rFonts w:ascii="Times" w:hAnsi="Times" w:cs="Open Sans"/>
          <w:color w:val="000000" w:themeColor="text1"/>
        </w:rPr>
        <w:t xml:space="preserve"> the</w:t>
      </w:r>
      <w:r w:rsidR="00FF1B1E">
        <w:rPr>
          <w:rFonts w:ascii="Times" w:hAnsi="Times" w:cs="Open Sans"/>
          <w:color w:val="000000" w:themeColor="text1"/>
        </w:rPr>
        <w:t xml:space="preserve"> </w:t>
      </w:r>
      <w:r w:rsidR="00EE59BA">
        <w:rPr>
          <w:rFonts w:ascii="Times" w:hAnsi="Times" w:cs="Open Sans"/>
          <w:color w:val="000000" w:themeColor="text1"/>
        </w:rPr>
        <w:t xml:space="preserve">rights </w:t>
      </w:r>
      <w:r w:rsidR="00FF1B1E">
        <w:rPr>
          <w:rFonts w:ascii="Times" w:hAnsi="Times" w:cs="Open Sans"/>
          <w:color w:val="000000" w:themeColor="text1"/>
        </w:rPr>
        <w:t xml:space="preserve">of victims and the community engaged in </w:t>
      </w:r>
      <w:r w:rsidR="0096610B">
        <w:rPr>
          <w:rFonts w:ascii="Times" w:hAnsi="Times" w:cs="Open Sans"/>
          <w:color w:val="000000" w:themeColor="text1"/>
        </w:rPr>
        <w:t>the</w:t>
      </w:r>
      <w:r w:rsidR="00FF1B1E">
        <w:rPr>
          <w:rFonts w:ascii="Times" w:hAnsi="Times" w:cs="Open Sans"/>
          <w:color w:val="000000" w:themeColor="text1"/>
        </w:rPr>
        <w:t xml:space="preserve"> criminal </w:t>
      </w:r>
      <w:r w:rsidR="0096610B">
        <w:rPr>
          <w:rFonts w:ascii="Times" w:hAnsi="Times" w:cs="Open Sans"/>
          <w:color w:val="000000" w:themeColor="text1"/>
        </w:rPr>
        <w:t>context</w:t>
      </w:r>
      <w:r w:rsidRPr="00EE59BA">
        <w:rPr>
          <w:rFonts w:ascii="Times" w:hAnsi="Times" w:cs="Open Sans"/>
          <w:color w:val="000000" w:themeColor="text1"/>
        </w:rPr>
        <w:t>. What values underl</w:t>
      </w:r>
      <w:r w:rsidR="008226C9">
        <w:rPr>
          <w:rFonts w:ascii="Times" w:hAnsi="Times" w:cs="Open Sans"/>
          <w:color w:val="000000" w:themeColor="text1"/>
        </w:rPr>
        <w:t>ie</w:t>
      </w:r>
      <w:r w:rsidRPr="00EE59BA">
        <w:rPr>
          <w:rFonts w:ascii="Times" w:hAnsi="Times" w:cs="Open Sans"/>
          <w:color w:val="000000" w:themeColor="text1"/>
        </w:rPr>
        <w:t xml:space="preserve"> the</w:t>
      </w:r>
      <w:r w:rsidR="0096610B">
        <w:rPr>
          <w:rFonts w:ascii="Times" w:hAnsi="Times" w:cs="Open Sans"/>
          <w:color w:val="000000" w:themeColor="text1"/>
        </w:rPr>
        <w:t>se</w:t>
      </w:r>
      <w:r w:rsidRPr="00EE59BA">
        <w:rPr>
          <w:rFonts w:ascii="Times" w:hAnsi="Times" w:cs="Open Sans"/>
          <w:color w:val="000000" w:themeColor="text1"/>
        </w:rPr>
        <w:t xml:space="preserve"> right</w:t>
      </w:r>
      <w:r w:rsidR="00EE59BA">
        <w:rPr>
          <w:rFonts w:ascii="Times" w:hAnsi="Times" w:cs="Open Sans"/>
          <w:color w:val="000000" w:themeColor="text1"/>
        </w:rPr>
        <w:t>s</w:t>
      </w:r>
      <w:r w:rsidRPr="00EE59BA">
        <w:rPr>
          <w:rFonts w:ascii="Times" w:hAnsi="Times" w:cs="Open Sans"/>
          <w:color w:val="000000" w:themeColor="text1"/>
        </w:rPr>
        <w:t xml:space="preserve">, and how </w:t>
      </w:r>
      <w:r w:rsidR="00BF3627">
        <w:rPr>
          <w:rFonts w:ascii="Times" w:hAnsi="Times" w:cs="Open Sans"/>
          <w:color w:val="000000" w:themeColor="text1"/>
        </w:rPr>
        <w:t>are they to be vindicated</w:t>
      </w:r>
      <w:r w:rsidRPr="00EE59BA">
        <w:rPr>
          <w:rFonts w:ascii="Times" w:hAnsi="Times" w:cs="Open Sans"/>
          <w:color w:val="000000" w:themeColor="text1"/>
        </w:rPr>
        <w:t xml:space="preserve"> </w:t>
      </w:r>
      <w:r w:rsidR="00674007">
        <w:rPr>
          <w:rFonts w:ascii="Times" w:hAnsi="Times" w:cs="Open Sans"/>
          <w:color w:val="000000" w:themeColor="text1"/>
        </w:rPr>
        <w:t>in</w:t>
      </w:r>
      <w:r w:rsidRPr="00EE59BA">
        <w:rPr>
          <w:rFonts w:ascii="Times" w:hAnsi="Times" w:cs="Open Sans"/>
          <w:color w:val="000000" w:themeColor="text1"/>
        </w:rPr>
        <w:t xml:space="preserve"> the </w:t>
      </w:r>
      <w:r w:rsidR="00BF3627">
        <w:rPr>
          <w:rFonts w:ascii="Times" w:hAnsi="Times" w:cs="Open Sans"/>
          <w:color w:val="000000" w:themeColor="text1"/>
        </w:rPr>
        <w:t>c</w:t>
      </w:r>
      <w:r w:rsidRPr="00EE59BA">
        <w:rPr>
          <w:rFonts w:ascii="Times" w:hAnsi="Times" w:cs="Open Sans"/>
          <w:color w:val="000000" w:themeColor="text1"/>
        </w:rPr>
        <w:t xml:space="preserve">onstitutional scheme? </w:t>
      </w:r>
    </w:p>
    <w:p w14:paraId="74EB1B98" w14:textId="77777777" w:rsidR="00BF3627" w:rsidRDefault="00BF3627" w:rsidP="00335BBC">
      <w:pPr>
        <w:pStyle w:val="ListParagraph"/>
        <w:shd w:val="clear" w:color="auto" w:fill="FFFFFF"/>
        <w:spacing w:after="240" w:line="360" w:lineRule="auto"/>
        <w:ind w:left="360"/>
        <w:jc w:val="both"/>
        <w:rPr>
          <w:rFonts w:ascii="Times" w:hAnsi="Times" w:cs="Open Sans"/>
          <w:color w:val="000000" w:themeColor="text1"/>
        </w:rPr>
      </w:pPr>
    </w:p>
    <w:p w14:paraId="2B7B5A29" w14:textId="65F883E2" w:rsidR="003478B1" w:rsidRPr="00EE59BA" w:rsidRDefault="0096610B"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 xml:space="preserve">This has relevance to any proportionality assessment that must be conducted. </w:t>
      </w:r>
      <w:r w:rsidR="003478B1" w:rsidRPr="00EE59BA">
        <w:rPr>
          <w:rFonts w:ascii="Times" w:hAnsi="Times" w:cs="Open Sans"/>
          <w:color w:val="000000" w:themeColor="text1"/>
        </w:rPr>
        <w:t xml:space="preserve">In the case of </w:t>
      </w:r>
      <w:r w:rsidR="003478B1" w:rsidRPr="00EE59BA">
        <w:rPr>
          <w:rFonts w:ascii="Times" w:hAnsi="Times" w:cs="Open Sans"/>
          <w:i/>
          <w:iCs/>
          <w:color w:val="000000" w:themeColor="text1"/>
        </w:rPr>
        <w:t>Nottingham</w:t>
      </w:r>
      <w:r w:rsidR="007B1640">
        <w:rPr>
          <w:rFonts w:ascii="Times" w:hAnsi="Times" w:cs="Open Sans"/>
          <w:i/>
          <w:iCs/>
          <w:color w:val="000000" w:themeColor="text1"/>
        </w:rPr>
        <w:t>shire</w:t>
      </w:r>
      <w:r w:rsidR="003478B1" w:rsidRPr="00EE59BA">
        <w:rPr>
          <w:rFonts w:ascii="Times" w:hAnsi="Times" w:cs="Open Sans"/>
          <w:i/>
          <w:iCs/>
          <w:color w:val="000000" w:themeColor="text1"/>
        </w:rPr>
        <w:t xml:space="preserve"> Count</w:t>
      </w:r>
      <w:r w:rsidR="007B1640">
        <w:rPr>
          <w:rFonts w:ascii="Times" w:hAnsi="Times" w:cs="Open Sans"/>
          <w:i/>
          <w:iCs/>
          <w:color w:val="000000" w:themeColor="text1"/>
        </w:rPr>
        <w:t>y</w:t>
      </w:r>
      <w:r w:rsidR="003478B1" w:rsidRPr="00EE59BA">
        <w:rPr>
          <w:rFonts w:ascii="Times" w:hAnsi="Times" w:cs="Open Sans"/>
          <w:i/>
          <w:iCs/>
          <w:color w:val="000000" w:themeColor="text1"/>
        </w:rPr>
        <w:t xml:space="preserve"> Council v </w:t>
      </w:r>
      <w:r w:rsidR="007B1640">
        <w:rPr>
          <w:rFonts w:ascii="Times" w:hAnsi="Times" w:cs="Open Sans"/>
          <w:i/>
          <w:iCs/>
          <w:color w:val="000000" w:themeColor="text1"/>
        </w:rPr>
        <w:t>K</w:t>
      </w:r>
      <w:r w:rsidR="003478B1" w:rsidRPr="00EE59BA">
        <w:rPr>
          <w:rFonts w:ascii="Times" w:hAnsi="Times" w:cs="Open Sans"/>
          <w:i/>
          <w:iCs/>
          <w:color w:val="000000" w:themeColor="text1"/>
        </w:rPr>
        <w:t>B</w:t>
      </w:r>
      <w:r w:rsidR="009E610F">
        <w:rPr>
          <w:rStyle w:val="FootnoteReference"/>
          <w:rFonts w:ascii="Times" w:hAnsi="Times" w:cs="Open Sans"/>
          <w:i/>
          <w:iCs/>
          <w:color w:val="000000" w:themeColor="text1"/>
        </w:rPr>
        <w:footnoteReference w:id="3"/>
      </w:r>
      <w:r w:rsidR="003478B1" w:rsidRPr="00EE59BA">
        <w:rPr>
          <w:rFonts w:ascii="Times" w:hAnsi="Times" w:cs="Open Sans"/>
          <w:color w:val="000000" w:themeColor="text1"/>
        </w:rPr>
        <w:t>, O’Donnell J, as he then was, said:</w:t>
      </w:r>
    </w:p>
    <w:p w14:paraId="363EB3E2" w14:textId="77777777" w:rsidR="003478B1" w:rsidRPr="00A71595" w:rsidRDefault="003478B1" w:rsidP="00335BBC">
      <w:pPr>
        <w:pStyle w:val="ListParagraph"/>
        <w:shd w:val="clear" w:color="auto" w:fill="FFFFFF"/>
        <w:spacing w:line="360" w:lineRule="auto"/>
        <w:ind w:left="360"/>
        <w:rPr>
          <w:rFonts w:ascii="Times" w:hAnsi="Times" w:cs="Open Sans"/>
          <w:color w:val="000000" w:themeColor="text1"/>
        </w:rPr>
      </w:pPr>
    </w:p>
    <w:p w14:paraId="1E87A88A" w14:textId="6A77E348" w:rsidR="003478B1" w:rsidRPr="00A71595" w:rsidRDefault="003478B1" w:rsidP="00335BBC">
      <w:pPr>
        <w:pStyle w:val="ListParagraph"/>
        <w:shd w:val="clear" w:color="auto" w:fill="FFFFFF"/>
        <w:spacing w:line="360" w:lineRule="auto"/>
        <w:jc w:val="both"/>
        <w:rPr>
          <w:rFonts w:ascii="Times" w:hAnsi="Times" w:cs="Open Sans"/>
          <w:i/>
          <w:iCs/>
          <w:color w:val="000000" w:themeColor="text1"/>
        </w:rPr>
      </w:pPr>
      <w:r w:rsidRPr="00A71595">
        <w:rPr>
          <w:rFonts w:ascii="Times" w:hAnsi="Times" w:cs="Open Sans"/>
          <w:i/>
          <w:iCs/>
          <w:color w:val="000000" w:themeColor="text1"/>
          <w:shd w:val="clear" w:color="auto" w:fill="FFFFFF"/>
        </w:rPr>
        <w:t>‘The analysis of whether any particular restriction or limitation is consistent to the Constitution may be assisted by the structure proportionality analysis provides, but only if it is explained </w:t>
      </w:r>
      <w:r w:rsidRPr="00BB5A20">
        <w:rPr>
          <w:rStyle w:val="Emphasis"/>
          <w:rFonts w:ascii="Times" w:hAnsi="Times" w:cs="Open Sans"/>
          <w:iCs w:val="0"/>
          <w:color w:val="000000" w:themeColor="text1"/>
          <w:shd w:val="clear" w:color="auto" w:fill="FFFFFF"/>
        </w:rPr>
        <w:t>why</w:t>
      </w:r>
      <w:r w:rsidRPr="00A71595">
        <w:rPr>
          <w:rFonts w:ascii="Times" w:hAnsi="Times" w:cs="Open Sans"/>
          <w:i/>
          <w:iCs/>
          <w:color w:val="000000" w:themeColor="text1"/>
          <w:shd w:val="clear" w:color="auto" w:fill="FFFFFF"/>
        </w:rPr>
        <w:t> any particular provision is permitted by the Constitution, and is proportionate. In my view it is an error to approach the constitutional issue by simply asking, almost in the abstract, whether any particular provision is proportionate as an almost self</w:t>
      </w:r>
      <w:r w:rsidR="008429B0">
        <w:rPr>
          <w:rFonts w:ascii="Times" w:hAnsi="Times" w:cs="Open Sans"/>
          <w:i/>
          <w:iCs/>
          <w:color w:val="000000" w:themeColor="text1"/>
          <w:shd w:val="clear" w:color="auto" w:fill="FFFFFF"/>
        </w:rPr>
        <w:t>-</w:t>
      </w:r>
      <w:r w:rsidRPr="00A71595">
        <w:rPr>
          <w:rFonts w:ascii="Times" w:hAnsi="Times" w:cs="Open Sans"/>
          <w:i/>
          <w:iCs/>
          <w:color w:val="000000" w:themeColor="text1"/>
          <w:shd w:val="clear" w:color="auto" w:fill="FFFFFF"/>
        </w:rPr>
        <w:t>standing test of constitutionality and detached from careful consideration of the text and the values necessarily implied by it.’</w:t>
      </w:r>
    </w:p>
    <w:p w14:paraId="560C3054" w14:textId="344F8228" w:rsidR="00E77556" w:rsidRPr="006A1B1E" w:rsidRDefault="003478B1" w:rsidP="00335BBC">
      <w:pPr>
        <w:pStyle w:val="ListParagraph"/>
        <w:shd w:val="clear" w:color="auto" w:fill="FFFFFF"/>
        <w:spacing w:after="240" w:line="360" w:lineRule="auto"/>
        <w:ind w:left="360"/>
        <w:jc w:val="both"/>
        <w:rPr>
          <w:rFonts w:ascii="Times" w:hAnsi="Times" w:cs="Open Sans"/>
          <w:color w:val="000000" w:themeColor="text1"/>
        </w:rPr>
      </w:pPr>
      <w:r w:rsidRPr="00A71595">
        <w:rPr>
          <w:rFonts w:ascii="Times" w:hAnsi="Times" w:cs="Open Sans"/>
          <w:color w:val="000000" w:themeColor="text1"/>
        </w:rPr>
        <w:t xml:space="preserve">  </w:t>
      </w:r>
    </w:p>
    <w:p w14:paraId="64E5FE85" w14:textId="025B35A5" w:rsidR="00674007" w:rsidRPr="00674007" w:rsidRDefault="001A250D" w:rsidP="00335BBC">
      <w:pPr>
        <w:pStyle w:val="ListParagraph"/>
        <w:numPr>
          <w:ilvl w:val="0"/>
          <w:numId w:val="2"/>
        </w:numPr>
        <w:spacing w:line="360" w:lineRule="auto"/>
        <w:jc w:val="both"/>
      </w:pPr>
      <w:r w:rsidRPr="00A71595">
        <w:rPr>
          <w:rFonts w:ascii="Times" w:hAnsi="Times" w:cs="Open Sans"/>
          <w:color w:val="000000" w:themeColor="text1"/>
        </w:rPr>
        <w:t>In </w:t>
      </w:r>
      <w:r w:rsidRPr="00A71595">
        <w:rPr>
          <w:rFonts w:ascii="Times" w:hAnsi="Times" w:cs="Open Sans"/>
          <w:i/>
          <w:iCs/>
          <w:color w:val="000000" w:themeColor="text1"/>
        </w:rPr>
        <w:t>People (DPP) v Gilligan</w:t>
      </w:r>
      <w:r w:rsidR="009E610F">
        <w:rPr>
          <w:rStyle w:val="FootnoteReference"/>
          <w:rFonts w:ascii="Times" w:hAnsi="Times" w:cs="Open Sans"/>
          <w:i/>
          <w:iCs/>
          <w:color w:val="000000" w:themeColor="text1"/>
        </w:rPr>
        <w:footnoteReference w:id="4"/>
      </w:r>
      <w:r w:rsidRPr="00A71595">
        <w:rPr>
          <w:rFonts w:ascii="Times" w:hAnsi="Times" w:cs="Open Sans"/>
          <w:color w:val="000000" w:themeColor="text1"/>
        </w:rPr>
        <w:t xml:space="preserve">, Denham J </w:t>
      </w:r>
      <w:r>
        <w:rPr>
          <w:rFonts w:ascii="Times" w:hAnsi="Times" w:cs="Open Sans"/>
          <w:color w:val="000000" w:themeColor="text1"/>
        </w:rPr>
        <w:t xml:space="preserve">as she then was </w:t>
      </w:r>
      <w:r w:rsidRPr="00A71595">
        <w:rPr>
          <w:rFonts w:ascii="Times" w:hAnsi="Times" w:cs="Open Sans"/>
          <w:color w:val="000000" w:themeColor="text1"/>
        </w:rPr>
        <w:t>said</w:t>
      </w:r>
      <w:r w:rsidR="00674007">
        <w:rPr>
          <w:rFonts w:ascii="Times" w:hAnsi="Times" w:cs="Open Sans"/>
          <w:color w:val="000000" w:themeColor="text1"/>
        </w:rPr>
        <w:t xml:space="preserve"> that</w:t>
      </w:r>
      <w:r w:rsidRPr="00A71595">
        <w:rPr>
          <w:rFonts w:ascii="Times" w:hAnsi="Times" w:cs="Open Sans"/>
          <w:color w:val="000000" w:themeColor="text1"/>
        </w:rPr>
        <w:t xml:space="preserve"> Article 38.</w:t>
      </w:r>
      <w:r>
        <w:rPr>
          <w:rFonts w:ascii="Times" w:hAnsi="Times" w:cs="Open Sans"/>
          <w:color w:val="000000" w:themeColor="text1"/>
        </w:rPr>
        <w:t>1 was</w:t>
      </w:r>
      <w:r w:rsidRPr="004A12DF">
        <w:rPr>
          <w:rFonts w:ascii="Times" w:hAnsi="Times" w:cs="Open Sans"/>
          <w:i/>
          <w:iCs/>
          <w:color w:val="000000" w:themeColor="text1"/>
        </w:rPr>
        <w:t xml:space="preserve"> </w:t>
      </w:r>
      <w:r>
        <w:rPr>
          <w:rFonts w:ascii="Times" w:hAnsi="Times" w:cs="Open Sans"/>
          <w:i/>
          <w:iCs/>
          <w:color w:val="000000" w:themeColor="text1"/>
        </w:rPr>
        <w:t>‘</w:t>
      </w:r>
      <w:r w:rsidRPr="004A12DF">
        <w:rPr>
          <w:rFonts w:ascii="Times" w:hAnsi="Times" w:cs="Open Sans"/>
          <w:i/>
          <w:iCs/>
          <w:color w:val="000000" w:themeColor="text1"/>
        </w:rPr>
        <w:t>a right inherent in the concept of justice, which is at the core of the constitution’.</w:t>
      </w:r>
      <w:r>
        <w:rPr>
          <w:rFonts w:ascii="Times" w:hAnsi="Times" w:cs="Open Sans"/>
          <w:i/>
          <w:iCs/>
          <w:color w:val="000000" w:themeColor="text1"/>
        </w:rPr>
        <w:t xml:space="preserve"> </w:t>
      </w:r>
    </w:p>
    <w:p w14:paraId="5C699352" w14:textId="77777777" w:rsidR="00674007" w:rsidRPr="00674007" w:rsidRDefault="00674007" w:rsidP="00335BBC">
      <w:pPr>
        <w:pStyle w:val="ListParagraph"/>
        <w:spacing w:line="360" w:lineRule="auto"/>
        <w:ind w:left="360"/>
        <w:jc w:val="both"/>
      </w:pPr>
    </w:p>
    <w:p w14:paraId="2B00BC5D" w14:textId="3ECE19D6" w:rsidR="001C77DE" w:rsidRPr="00EE7625" w:rsidRDefault="001C77DE" w:rsidP="00335BBC">
      <w:pPr>
        <w:pStyle w:val="ListParagraph"/>
        <w:numPr>
          <w:ilvl w:val="0"/>
          <w:numId w:val="2"/>
        </w:numPr>
        <w:spacing w:line="360" w:lineRule="auto"/>
        <w:jc w:val="both"/>
      </w:pPr>
      <w:r>
        <w:rPr>
          <w:rFonts w:ascii="Times" w:hAnsi="Times" w:cs="Open Sans"/>
          <w:color w:val="000000" w:themeColor="text1"/>
        </w:rPr>
        <w:t>A</w:t>
      </w:r>
      <w:r w:rsidR="00BF3627" w:rsidRPr="00183185">
        <w:rPr>
          <w:rFonts w:ascii="Times" w:hAnsi="Times" w:cs="Open Sans"/>
          <w:color w:val="000000" w:themeColor="text1"/>
        </w:rPr>
        <w:t>s well as being the means by which personal rights are vindicated</w:t>
      </w:r>
      <w:r>
        <w:rPr>
          <w:rFonts w:ascii="Times" w:hAnsi="Times" w:cs="Open Sans"/>
          <w:color w:val="000000" w:themeColor="text1"/>
        </w:rPr>
        <w:t>,</w:t>
      </w:r>
      <w:r w:rsidRPr="001C77DE">
        <w:rPr>
          <w:rFonts w:ascii="Times" w:hAnsi="Times" w:cs="Open Sans"/>
          <w:color w:val="000000" w:themeColor="text1"/>
        </w:rPr>
        <w:t xml:space="preserve"> </w:t>
      </w:r>
      <w:r>
        <w:rPr>
          <w:rFonts w:ascii="Times" w:hAnsi="Times" w:cs="Open Sans"/>
          <w:color w:val="000000" w:themeColor="text1"/>
        </w:rPr>
        <w:t>j</w:t>
      </w:r>
      <w:r w:rsidRPr="00183185">
        <w:rPr>
          <w:rFonts w:ascii="Times" w:hAnsi="Times" w:cs="Open Sans"/>
          <w:color w:val="000000" w:themeColor="text1"/>
        </w:rPr>
        <w:t>ustice has a strong social value</w:t>
      </w:r>
      <w:r w:rsidR="006A1B1E" w:rsidRPr="00183185">
        <w:rPr>
          <w:rFonts w:ascii="Times" w:hAnsi="Times" w:cs="Open Sans"/>
          <w:color w:val="000000" w:themeColor="text1"/>
        </w:rPr>
        <w:t xml:space="preserve">. </w:t>
      </w:r>
      <w:r w:rsidR="00BF3627" w:rsidRPr="00183185">
        <w:rPr>
          <w:rFonts w:ascii="Times" w:hAnsi="Times" w:cs="Open Sans"/>
          <w:color w:val="000000" w:themeColor="text1"/>
        </w:rPr>
        <w:t>T</w:t>
      </w:r>
      <w:r w:rsidR="001A250D" w:rsidRPr="00183185">
        <w:rPr>
          <w:rFonts w:ascii="Times" w:hAnsi="Times" w:cs="Open Sans"/>
          <w:color w:val="000000" w:themeColor="text1"/>
        </w:rPr>
        <w:t xml:space="preserve">here is </w:t>
      </w:r>
      <w:r>
        <w:rPr>
          <w:rFonts w:ascii="Times" w:hAnsi="Times" w:cs="Open Sans"/>
          <w:color w:val="000000" w:themeColor="text1"/>
        </w:rPr>
        <w:t>a</w:t>
      </w:r>
      <w:r w:rsidR="001A250D" w:rsidRPr="00183185">
        <w:rPr>
          <w:rFonts w:ascii="Times" w:hAnsi="Times" w:cs="Open Sans"/>
          <w:color w:val="000000" w:themeColor="text1"/>
        </w:rPr>
        <w:t xml:space="preserve"> </w:t>
      </w:r>
      <w:r w:rsidR="00674007">
        <w:rPr>
          <w:rFonts w:ascii="Times" w:hAnsi="Times" w:cs="Open Sans"/>
          <w:color w:val="000000" w:themeColor="text1"/>
        </w:rPr>
        <w:t xml:space="preserve">high </w:t>
      </w:r>
      <w:r w:rsidR="001A250D" w:rsidRPr="00183185">
        <w:rPr>
          <w:rFonts w:ascii="Times" w:hAnsi="Times" w:cs="Open Sans"/>
          <w:color w:val="000000" w:themeColor="text1"/>
        </w:rPr>
        <w:t xml:space="preserve">community interest in ensuring the integrity of the justice system. </w:t>
      </w:r>
      <w:r w:rsidR="007B1640">
        <w:rPr>
          <w:rFonts w:ascii="Times" w:hAnsi="Times" w:cs="Open Sans"/>
          <w:color w:val="000000" w:themeColor="text1"/>
        </w:rPr>
        <w:t>It is important to recall</w:t>
      </w:r>
      <w:r w:rsidR="00606DF7">
        <w:rPr>
          <w:rFonts w:ascii="Times" w:hAnsi="Times" w:cs="Open Sans"/>
          <w:color w:val="000000" w:themeColor="text1"/>
        </w:rPr>
        <w:t xml:space="preserve">, in particular in any analysis of whether or to what extent there are competing rights at stake, that the Article 38.1 right is </w:t>
      </w:r>
      <w:r w:rsidR="00AF2AA7">
        <w:rPr>
          <w:rFonts w:ascii="Times" w:hAnsi="Times" w:cs="Open Sans"/>
          <w:color w:val="000000" w:themeColor="text1"/>
        </w:rPr>
        <w:t>more than</w:t>
      </w:r>
      <w:r w:rsidR="00606DF7">
        <w:rPr>
          <w:rFonts w:ascii="Times" w:hAnsi="Times" w:cs="Open Sans"/>
          <w:color w:val="000000" w:themeColor="text1"/>
        </w:rPr>
        <w:t xml:space="preserve"> an individual right. </w:t>
      </w:r>
      <w:r w:rsidR="00135A80">
        <w:rPr>
          <w:bCs/>
          <w:lang w:val="en-US"/>
        </w:rPr>
        <w:t>As Keane J. observed in</w:t>
      </w:r>
      <w:r w:rsidR="00606DF7" w:rsidRPr="00606DF7">
        <w:rPr>
          <w:bCs/>
          <w:lang w:val="en-US"/>
        </w:rPr>
        <w:t xml:space="preserve"> </w:t>
      </w:r>
      <w:r w:rsidR="00606DF7" w:rsidRPr="00606DF7">
        <w:rPr>
          <w:i/>
          <w:lang w:val="en-US"/>
        </w:rPr>
        <w:t>Kelly v. O’Neill</w:t>
      </w:r>
      <w:r w:rsidR="00135A80">
        <w:rPr>
          <w:rStyle w:val="FootnoteReference"/>
          <w:i/>
          <w:lang w:val="en-US"/>
        </w:rPr>
        <w:footnoteReference w:id="5"/>
      </w:r>
      <w:r w:rsidR="00606DF7" w:rsidRPr="00606DF7">
        <w:rPr>
          <w:bCs/>
          <w:lang w:val="en-US"/>
        </w:rPr>
        <w:t>:</w:t>
      </w:r>
    </w:p>
    <w:p w14:paraId="7D775BE5" w14:textId="77777777" w:rsidR="00606DF7" w:rsidRPr="00606DF7" w:rsidRDefault="00606DF7" w:rsidP="00335BBC">
      <w:pPr>
        <w:spacing w:line="360" w:lineRule="auto"/>
        <w:rPr>
          <w:bCs/>
          <w:lang w:val="en-US"/>
        </w:rPr>
      </w:pPr>
    </w:p>
    <w:p w14:paraId="57E5218A" w14:textId="4CE0F6E7" w:rsidR="00606DF7" w:rsidRPr="00EE7625" w:rsidRDefault="00606DF7" w:rsidP="00335BBC">
      <w:pPr>
        <w:spacing w:line="360" w:lineRule="auto"/>
        <w:ind w:left="720"/>
        <w:jc w:val="both"/>
        <w:rPr>
          <w:bCs/>
          <w:i/>
          <w:iCs/>
        </w:rPr>
      </w:pPr>
      <w:r w:rsidRPr="00606DF7">
        <w:rPr>
          <w:bCs/>
          <w:i/>
          <w:iCs/>
          <w:lang w:val="en-US"/>
        </w:rPr>
        <w:t>“</w:t>
      </w:r>
      <w:r w:rsidR="00135A80">
        <w:rPr>
          <w:bCs/>
          <w:i/>
          <w:iCs/>
          <w:lang w:val="en-US"/>
        </w:rPr>
        <w:t>A</w:t>
      </w:r>
      <w:r w:rsidR="00135A80" w:rsidRPr="00135A80">
        <w:rPr>
          <w:bCs/>
          <w:i/>
          <w:iCs/>
        </w:rPr>
        <w:t>s has been frequently pointed out,</w:t>
      </w:r>
      <w:r w:rsidR="00135A80">
        <w:rPr>
          <w:bCs/>
          <w:i/>
          <w:iCs/>
        </w:rPr>
        <w:t xml:space="preserve"> t</w:t>
      </w:r>
      <w:r w:rsidRPr="00606DF7">
        <w:rPr>
          <w:bCs/>
          <w:i/>
          <w:iCs/>
          <w:lang w:val="en-US"/>
        </w:rPr>
        <w:t>he right to a fair trial in due course of law guaranteed under the Constitution is not simply a right vested in those who happen to be accused of particular crimes; it is the interest of the community as a whole that the right should be protected and vindicated by the State and it’s organs”.</w:t>
      </w:r>
    </w:p>
    <w:p w14:paraId="7D8BCA05" w14:textId="77777777" w:rsidR="001C77DE" w:rsidRPr="001C77DE" w:rsidRDefault="001C77DE" w:rsidP="00335BBC">
      <w:pPr>
        <w:pStyle w:val="ListParagraph"/>
        <w:spacing w:line="360" w:lineRule="auto"/>
        <w:ind w:left="360"/>
        <w:jc w:val="both"/>
      </w:pPr>
    </w:p>
    <w:p w14:paraId="7A2C8357" w14:textId="2A0DE58A" w:rsidR="001A250D" w:rsidRPr="007F4178" w:rsidRDefault="001A250D" w:rsidP="00335BBC">
      <w:pPr>
        <w:pStyle w:val="ListParagraph"/>
        <w:numPr>
          <w:ilvl w:val="0"/>
          <w:numId w:val="2"/>
        </w:numPr>
        <w:spacing w:line="360" w:lineRule="auto"/>
        <w:jc w:val="both"/>
      </w:pPr>
      <w:r w:rsidRPr="00183185">
        <w:rPr>
          <w:rFonts w:ascii="Times" w:hAnsi="Times" w:cs="Open Sans"/>
          <w:color w:val="000000" w:themeColor="text1"/>
        </w:rPr>
        <w:t>This goal is apparent, for example, in the standard</w:t>
      </w:r>
      <w:r w:rsidR="001C77DE">
        <w:rPr>
          <w:rFonts w:ascii="Times" w:hAnsi="Times" w:cs="Open Sans"/>
          <w:color w:val="000000" w:themeColor="text1"/>
        </w:rPr>
        <w:t>s</w:t>
      </w:r>
      <w:r w:rsidRPr="00183185">
        <w:rPr>
          <w:rFonts w:ascii="Times" w:hAnsi="Times" w:cs="Open Sans"/>
          <w:color w:val="000000" w:themeColor="text1"/>
        </w:rPr>
        <w:t xml:space="preserve"> applied by the Irish Courts in respect of </w:t>
      </w:r>
      <w:r w:rsidR="001C77DE">
        <w:rPr>
          <w:rFonts w:ascii="Times" w:hAnsi="Times" w:cs="Open Sans"/>
          <w:color w:val="000000" w:themeColor="text1"/>
        </w:rPr>
        <w:t>m</w:t>
      </w:r>
      <w:r w:rsidRPr="00183185">
        <w:rPr>
          <w:rFonts w:ascii="Times" w:hAnsi="Times" w:cs="Open Sans"/>
          <w:color w:val="000000" w:themeColor="text1"/>
        </w:rPr>
        <w:t xml:space="preserve">iscarriage of </w:t>
      </w:r>
      <w:r w:rsidR="001C77DE">
        <w:rPr>
          <w:rFonts w:ascii="Times" w:hAnsi="Times" w:cs="Open Sans"/>
          <w:color w:val="000000" w:themeColor="text1"/>
        </w:rPr>
        <w:t>j</w:t>
      </w:r>
      <w:r w:rsidRPr="00183185">
        <w:rPr>
          <w:rFonts w:ascii="Times" w:hAnsi="Times" w:cs="Open Sans"/>
          <w:color w:val="000000" w:themeColor="text1"/>
        </w:rPr>
        <w:t>ustice</w:t>
      </w:r>
      <w:r w:rsidR="00BF3627" w:rsidRPr="00183185">
        <w:rPr>
          <w:rFonts w:ascii="Times" w:hAnsi="Times" w:cs="Open Sans"/>
          <w:color w:val="000000" w:themeColor="text1"/>
        </w:rPr>
        <w:t xml:space="preserve"> applications</w:t>
      </w:r>
      <w:r w:rsidRPr="00183185">
        <w:rPr>
          <w:rFonts w:ascii="Times" w:hAnsi="Times" w:cs="Open Sans"/>
          <w:color w:val="000000" w:themeColor="text1"/>
        </w:rPr>
        <w:t>. The Courts have gone considerably further than the minimum requirements of the Convention, or the practice in our neighbouring jurisdiction</w:t>
      </w:r>
      <w:r w:rsidR="00674007">
        <w:rPr>
          <w:rFonts w:ascii="Times" w:hAnsi="Times" w:cs="Open Sans"/>
          <w:color w:val="000000" w:themeColor="text1"/>
        </w:rPr>
        <w:t>. A</w:t>
      </w:r>
      <w:r w:rsidRPr="00183185">
        <w:rPr>
          <w:rFonts w:ascii="Times" w:hAnsi="Times" w:cs="Open Sans"/>
          <w:color w:val="000000" w:themeColor="text1"/>
        </w:rPr>
        <w:t xml:space="preserve"> miscarriage of justice </w:t>
      </w:r>
      <w:r w:rsidR="00674007">
        <w:rPr>
          <w:rFonts w:ascii="Times" w:hAnsi="Times" w:cs="Open Sans"/>
          <w:color w:val="000000" w:themeColor="text1"/>
        </w:rPr>
        <w:t>will be</w:t>
      </w:r>
      <w:r w:rsidRPr="00183185">
        <w:rPr>
          <w:rFonts w:ascii="Times" w:hAnsi="Times" w:cs="Open Sans"/>
          <w:color w:val="000000" w:themeColor="text1"/>
        </w:rPr>
        <w:t xml:space="preserve"> declared</w:t>
      </w:r>
      <w:r w:rsidR="001C77DE">
        <w:rPr>
          <w:rFonts w:ascii="Times" w:hAnsi="Times" w:cs="Open Sans"/>
          <w:color w:val="000000" w:themeColor="text1"/>
        </w:rPr>
        <w:t>,</w:t>
      </w:r>
      <w:r w:rsidRPr="00183185">
        <w:rPr>
          <w:rFonts w:ascii="Times" w:hAnsi="Times" w:cs="Open Sans"/>
          <w:color w:val="000000" w:themeColor="text1"/>
        </w:rPr>
        <w:t xml:space="preserve"> and damages </w:t>
      </w:r>
      <w:r w:rsidR="00674007">
        <w:rPr>
          <w:rFonts w:ascii="Times" w:hAnsi="Times" w:cs="Open Sans"/>
          <w:color w:val="000000" w:themeColor="text1"/>
        </w:rPr>
        <w:t>will be</w:t>
      </w:r>
      <w:r w:rsidRPr="00183185">
        <w:rPr>
          <w:rFonts w:ascii="Times" w:hAnsi="Times" w:cs="Open Sans"/>
          <w:color w:val="000000" w:themeColor="text1"/>
        </w:rPr>
        <w:t xml:space="preserve"> payable</w:t>
      </w:r>
      <w:r w:rsidR="001C77DE">
        <w:rPr>
          <w:rFonts w:ascii="Times" w:hAnsi="Times" w:cs="Open Sans"/>
          <w:color w:val="000000" w:themeColor="text1"/>
        </w:rPr>
        <w:t>,</w:t>
      </w:r>
      <w:r w:rsidRPr="00183185">
        <w:rPr>
          <w:rFonts w:ascii="Times" w:hAnsi="Times" w:cs="Open Sans"/>
          <w:color w:val="000000" w:themeColor="text1"/>
        </w:rPr>
        <w:t xml:space="preserve"> not just where an innocent person has been convicted, but </w:t>
      </w:r>
      <w:r w:rsidR="00BF3627" w:rsidRPr="00183185">
        <w:rPr>
          <w:rFonts w:ascii="Times" w:hAnsi="Times" w:cs="Open Sans"/>
          <w:color w:val="000000" w:themeColor="text1"/>
        </w:rPr>
        <w:t xml:space="preserve">also </w:t>
      </w:r>
      <w:r w:rsidRPr="00183185">
        <w:rPr>
          <w:rFonts w:ascii="Times" w:hAnsi="Times" w:cs="Open Sans"/>
          <w:color w:val="000000" w:themeColor="text1"/>
        </w:rPr>
        <w:t xml:space="preserve">where a person has been convicted following </w:t>
      </w:r>
      <w:r w:rsidR="001C77DE">
        <w:rPr>
          <w:rFonts w:ascii="Times" w:hAnsi="Times" w:cs="Open Sans"/>
          <w:color w:val="000000" w:themeColor="text1"/>
        </w:rPr>
        <w:lastRenderedPageBreak/>
        <w:t xml:space="preserve">a </w:t>
      </w:r>
      <w:r w:rsidRPr="00183185">
        <w:rPr>
          <w:rFonts w:ascii="Times" w:hAnsi="Times" w:cs="Open Sans"/>
          <w:color w:val="000000" w:themeColor="text1"/>
        </w:rPr>
        <w:t>‘</w:t>
      </w:r>
      <w:r w:rsidRPr="00BB5A20">
        <w:rPr>
          <w:rFonts w:ascii="Times" w:hAnsi="Times" w:cs="Open Sans"/>
          <w:i/>
          <w:color w:val="000000" w:themeColor="text1"/>
        </w:rPr>
        <w:t>grave defect in the administration of justice’</w:t>
      </w:r>
      <w:r w:rsidR="00674007">
        <w:rPr>
          <w:rStyle w:val="FootnoteReference"/>
          <w:rFonts w:ascii="Times" w:hAnsi="Times" w:cs="Open Sans"/>
          <w:color w:val="000000" w:themeColor="text1"/>
        </w:rPr>
        <w:footnoteReference w:id="6"/>
      </w:r>
      <w:r w:rsidRPr="00183185">
        <w:rPr>
          <w:rFonts w:ascii="Times" w:hAnsi="Times" w:cs="Open Sans"/>
          <w:color w:val="000000" w:themeColor="text1"/>
        </w:rPr>
        <w:t xml:space="preserve"> or</w:t>
      </w:r>
      <w:r w:rsidRPr="001A250D">
        <w:t xml:space="preserve"> </w:t>
      </w:r>
      <w:r w:rsidR="00BF3627">
        <w:t xml:space="preserve">following </w:t>
      </w:r>
      <w:r>
        <w:t>‘</w:t>
      </w:r>
      <w:r w:rsidRPr="00BB5A20">
        <w:rPr>
          <w:i/>
        </w:rPr>
        <w:t>a failure of the judicial system to attain the ends of justice</w:t>
      </w:r>
      <w:r>
        <w:t>’</w:t>
      </w:r>
      <w:r w:rsidR="00674007">
        <w:rPr>
          <w:rStyle w:val="FootnoteReference"/>
        </w:rPr>
        <w:footnoteReference w:id="7"/>
      </w:r>
      <w:r>
        <w:t>.</w:t>
      </w:r>
    </w:p>
    <w:p w14:paraId="60171B20" w14:textId="3BBA52A6" w:rsidR="00BF3627" w:rsidRDefault="00BF3627" w:rsidP="00335BBC">
      <w:pPr>
        <w:pStyle w:val="ListParagraph"/>
        <w:spacing w:line="360" w:lineRule="auto"/>
        <w:rPr>
          <w:rFonts w:ascii="Times" w:hAnsi="Times" w:cs="Open Sans"/>
          <w:i/>
          <w:iCs/>
          <w:color w:val="000000" w:themeColor="text1"/>
        </w:rPr>
      </w:pPr>
    </w:p>
    <w:p w14:paraId="31C761AB" w14:textId="2F56353B" w:rsidR="003A09A0" w:rsidRPr="00A71595" w:rsidRDefault="003A09A0" w:rsidP="00E3746D">
      <w:pPr>
        <w:pStyle w:val="Heading1"/>
      </w:pPr>
      <w:bookmarkStart w:id="2" w:name="_Toc128532590"/>
      <w:r w:rsidRPr="00A71595">
        <w:t xml:space="preserve">The </w:t>
      </w:r>
      <w:r>
        <w:t>presumption of innocence as an aspect of</w:t>
      </w:r>
      <w:r w:rsidRPr="00A71595">
        <w:t xml:space="preserve"> the </w:t>
      </w:r>
      <w:r>
        <w:t>right to a fair trial</w:t>
      </w:r>
      <w:bookmarkEnd w:id="2"/>
    </w:p>
    <w:p w14:paraId="48FAAD12" w14:textId="77777777" w:rsidR="003A09A0" w:rsidRPr="00A71595" w:rsidRDefault="003A09A0" w:rsidP="00335BBC">
      <w:pPr>
        <w:spacing w:line="360" w:lineRule="auto"/>
        <w:ind w:firstLine="360"/>
        <w:jc w:val="both"/>
        <w:rPr>
          <w:rFonts w:ascii="Times" w:hAnsi="Times" w:cs="Open Sans"/>
          <w:b/>
          <w:bCs/>
          <w:color w:val="000000" w:themeColor="text1"/>
        </w:rPr>
      </w:pPr>
    </w:p>
    <w:p w14:paraId="7C8E030B" w14:textId="65F9FA70" w:rsidR="006A1B1E" w:rsidRPr="00BF3627" w:rsidRDefault="00323ACA" w:rsidP="00335BBC">
      <w:pPr>
        <w:pStyle w:val="ListParagraph"/>
        <w:numPr>
          <w:ilvl w:val="0"/>
          <w:numId w:val="2"/>
        </w:numPr>
        <w:shd w:val="clear" w:color="auto" w:fill="FFFFFF"/>
        <w:spacing w:after="240" w:line="360" w:lineRule="auto"/>
        <w:jc w:val="both"/>
        <w:rPr>
          <w:rFonts w:ascii="Times" w:hAnsi="Times" w:cs="Open Sans"/>
          <w:i/>
          <w:iCs/>
          <w:color w:val="000000" w:themeColor="text1"/>
        </w:rPr>
      </w:pPr>
      <w:r w:rsidRPr="00BF3627">
        <w:rPr>
          <w:rFonts w:ascii="Times" w:hAnsi="Times" w:cs="Open Sans"/>
          <w:color w:val="000000" w:themeColor="text1"/>
        </w:rPr>
        <w:t>In</w:t>
      </w:r>
      <w:r w:rsidRPr="00BF3627">
        <w:rPr>
          <w:rFonts w:ascii="Times" w:hAnsi="Times" w:cs="Open Sans"/>
          <w:i/>
          <w:iCs/>
          <w:color w:val="000000" w:themeColor="text1"/>
        </w:rPr>
        <w:t xml:space="preserve"> </w:t>
      </w:r>
      <w:r w:rsidR="009E610F">
        <w:rPr>
          <w:rFonts w:ascii="Times" w:hAnsi="Times" w:cs="Open Sans"/>
          <w:i/>
          <w:iCs/>
          <w:color w:val="000000" w:themeColor="text1"/>
        </w:rPr>
        <w:t>P.O’C v DPP</w:t>
      </w:r>
      <w:r w:rsidR="009E610F">
        <w:rPr>
          <w:rStyle w:val="FootnoteReference"/>
          <w:rFonts w:ascii="Times" w:hAnsi="Times" w:cs="Open Sans"/>
          <w:i/>
          <w:iCs/>
          <w:color w:val="000000" w:themeColor="text1"/>
        </w:rPr>
        <w:footnoteReference w:id="8"/>
      </w:r>
      <w:r w:rsidR="009E610F">
        <w:rPr>
          <w:rFonts w:ascii="Times" w:hAnsi="Times" w:cs="Open Sans"/>
          <w:color w:val="000000" w:themeColor="text1"/>
        </w:rPr>
        <w:t>, Murray J</w:t>
      </w:r>
      <w:r w:rsidRPr="00BF3627">
        <w:rPr>
          <w:rFonts w:ascii="Times" w:hAnsi="Times" w:cs="Open Sans"/>
          <w:color w:val="000000" w:themeColor="text1"/>
        </w:rPr>
        <w:t xml:space="preserve"> described the presumption as being </w:t>
      </w:r>
      <w:r w:rsidRPr="00BF3627">
        <w:rPr>
          <w:rFonts w:ascii="Times" w:hAnsi="Times" w:cs="Open Sans"/>
          <w:i/>
          <w:iCs/>
          <w:color w:val="000000" w:themeColor="text1"/>
        </w:rPr>
        <w:t>‘personal to the dignity and status of every citizen’</w:t>
      </w:r>
      <w:r w:rsidRPr="00BF3627">
        <w:rPr>
          <w:rFonts w:ascii="Times" w:hAnsi="Times" w:cs="Open Sans"/>
          <w:color w:val="000000" w:themeColor="text1"/>
        </w:rPr>
        <w:t xml:space="preserve">. </w:t>
      </w:r>
      <w:r w:rsidR="003478B1" w:rsidRPr="00BF3627">
        <w:rPr>
          <w:rFonts w:ascii="Times" w:hAnsi="Times" w:cs="Open Sans"/>
          <w:color w:val="000000" w:themeColor="text1"/>
        </w:rPr>
        <w:t>Respect for individual dignity is a core constitutional value, underpinning the protection of ‘the person’ in Article 40.3.1.</w:t>
      </w:r>
      <w:r w:rsidR="00CC646C">
        <w:rPr>
          <w:rStyle w:val="FootnoteReference"/>
          <w:rFonts w:ascii="Times" w:hAnsi="Times" w:cs="Open Sans"/>
          <w:color w:val="000000" w:themeColor="text1"/>
        </w:rPr>
        <w:footnoteReference w:id="9"/>
      </w:r>
      <w:r w:rsidR="003478B1" w:rsidRPr="00BF3627">
        <w:rPr>
          <w:rFonts w:ascii="Times" w:hAnsi="Times" w:cs="Open Sans"/>
          <w:color w:val="000000" w:themeColor="text1"/>
        </w:rPr>
        <w:t xml:space="preserve">, and </w:t>
      </w:r>
      <w:r w:rsidR="006A1B1E" w:rsidRPr="00BF3627">
        <w:rPr>
          <w:rFonts w:ascii="Times" w:hAnsi="Times" w:cs="Open Sans"/>
          <w:color w:val="000000" w:themeColor="text1"/>
        </w:rPr>
        <w:t xml:space="preserve">is </w:t>
      </w:r>
      <w:r w:rsidR="003478B1" w:rsidRPr="00BF3627">
        <w:rPr>
          <w:rFonts w:ascii="Times" w:hAnsi="Times" w:cs="Open Sans"/>
          <w:color w:val="000000" w:themeColor="text1"/>
        </w:rPr>
        <w:t xml:space="preserve">closely allied to the constitutional value of justice. </w:t>
      </w:r>
    </w:p>
    <w:p w14:paraId="4338BC79" w14:textId="16041A4D" w:rsidR="00BF7C8F" w:rsidRDefault="00BF7C8F" w:rsidP="00335BBC">
      <w:pPr>
        <w:pStyle w:val="NormalWeb"/>
        <w:numPr>
          <w:ilvl w:val="0"/>
          <w:numId w:val="2"/>
        </w:numPr>
        <w:shd w:val="clear" w:color="auto" w:fill="FFFFFF"/>
        <w:spacing w:line="360" w:lineRule="auto"/>
        <w:jc w:val="both"/>
        <w:rPr>
          <w:rFonts w:ascii="Times" w:hAnsi="Times" w:cs="Arial"/>
          <w:color w:val="000000"/>
        </w:rPr>
      </w:pPr>
      <w:r>
        <w:rPr>
          <w:rFonts w:ascii="Times" w:hAnsi="Times" w:cs="Arial"/>
          <w:color w:val="000000"/>
        </w:rPr>
        <w:t>I</w:t>
      </w:r>
      <w:r w:rsidR="008429B0">
        <w:rPr>
          <w:rFonts w:ascii="Times" w:hAnsi="Times" w:cs="Arial"/>
          <w:color w:val="000000"/>
        </w:rPr>
        <w:t xml:space="preserve">n the case of </w:t>
      </w:r>
      <w:r w:rsidR="008429B0" w:rsidRPr="00BF7C8F">
        <w:rPr>
          <w:rFonts w:ascii="Times" w:hAnsi="Times" w:cs="Arial"/>
          <w:i/>
          <w:iCs/>
          <w:color w:val="000000"/>
        </w:rPr>
        <w:t>Nolan v Minister for Justice</w:t>
      </w:r>
      <w:r w:rsidR="009E610F">
        <w:rPr>
          <w:rStyle w:val="FootnoteReference"/>
          <w:rFonts w:ascii="Times" w:hAnsi="Times" w:cs="Arial"/>
          <w:i/>
          <w:iCs/>
          <w:color w:val="000000"/>
        </w:rPr>
        <w:footnoteReference w:id="10"/>
      </w:r>
      <w:r>
        <w:rPr>
          <w:rFonts w:ascii="Times" w:hAnsi="Times" w:cs="Arial"/>
          <w:color w:val="000000"/>
        </w:rPr>
        <w:t>,</w:t>
      </w:r>
      <w:r w:rsidR="008429B0">
        <w:rPr>
          <w:rFonts w:ascii="Times" w:hAnsi="Times" w:cs="Arial"/>
          <w:color w:val="000000"/>
        </w:rPr>
        <w:t xml:space="preserve"> </w:t>
      </w:r>
      <w:r>
        <w:rPr>
          <w:rFonts w:ascii="Times" w:hAnsi="Times" w:cs="Arial"/>
          <w:color w:val="000000"/>
        </w:rPr>
        <w:t>Edwards J acknowledged that the</w:t>
      </w:r>
      <w:r w:rsidR="008429B0" w:rsidRPr="00473FE0">
        <w:rPr>
          <w:rFonts w:ascii="Times" w:hAnsi="Times" w:cs="Arial"/>
          <w:color w:val="000000"/>
        </w:rPr>
        <w:t xml:space="preserve"> presumption of innocence</w:t>
      </w:r>
      <w:r>
        <w:rPr>
          <w:rFonts w:ascii="Times" w:hAnsi="Times" w:cs="Arial"/>
          <w:color w:val="000000"/>
        </w:rPr>
        <w:t xml:space="preserve">, while it finds specific application in Article 38.1, was: </w:t>
      </w:r>
    </w:p>
    <w:p w14:paraId="75FBD232" w14:textId="6CC146E9" w:rsidR="008429B0" w:rsidRPr="00674007" w:rsidRDefault="00BF7C8F" w:rsidP="00335BBC">
      <w:pPr>
        <w:pStyle w:val="NormalWeb"/>
        <w:shd w:val="clear" w:color="auto" w:fill="FFFFFF"/>
        <w:spacing w:line="360" w:lineRule="auto"/>
        <w:ind w:left="720"/>
        <w:jc w:val="both"/>
        <w:rPr>
          <w:rFonts w:ascii="Times" w:hAnsi="Times" w:cs="Arial"/>
          <w:i/>
          <w:iCs/>
          <w:color w:val="000000"/>
        </w:rPr>
      </w:pPr>
      <w:r w:rsidRPr="00BF7C8F">
        <w:rPr>
          <w:rFonts w:ascii="Times" w:hAnsi="Times" w:cs="Arial"/>
          <w:i/>
          <w:iCs/>
          <w:color w:val="000000"/>
        </w:rPr>
        <w:t>‘</w:t>
      </w:r>
      <w:r w:rsidR="008429B0" w:rsidRPr="00BF7C8F">
        <w:rPr>
          <w:rFonts w:ascii="Times" w:hAnsi="Times" w:cs="Arial"/>
          <w:i/>
          <w:iCs/>
          <w:color w:val="000000"/>
        </w:rPr>
        <w:t>in itself a higher legal principle of universal application. It is now well established that when Article 40.4.1° of the Constitution speaks of no citizen being deprived of his personal liberty "save in accordance with law", the word "law" is not to be construed in a positivist way but as referring to the fundamental norms of the legal order postulated by the Constitution.</w:t>
      </w:r>
      <w:r w:rsidR="00CC646C">
        <w:rPr>
          <w:rFonts w:ascii="Times" w:hAnsi="Times" w:cs="Arial"/>
          <w:i/>
          <w:iCs/>
          <w:color w:val="000000"/>
        </w:rPr>
        <w:t>..</w:t>
      </w:r>
    </w:p>
    <w:p w14:paraId="33005E24" w14:textId="70AA9414" w:rsidR="008429B0" w:rsidRPr="00BF7C8F" w:rsidRDefault="008429B0" w:rsidP="00335BBC">
      <w:pPr>
        <w:pStyle w:val="ListParagraph"/>
        <w:spacing w:line="360" w:lineRule="auto"/>
        <w:jc w:val="both"/>
        <w:rPr>
          <w:rFonts w:ascii="Times" w:hAnsi="Times"/>
          <w:color w:val="000000"/>
          <w:shd w:val="clear" w:color="auto" w:fill="FFFFFF"/>
        </w:rPr>
      </w:pPr>
      <w:r w:rsidRPr="00BF7C8F">
        <w:rPr>
          <w:rFonts w:ascii="Times" w:hAnsi="Times"/>
          <w:i/>
          <w:iCs/>
          <w:color w:val="000000"/>
          <w:shd w:val="clear" w:color="auto" w:fill="FFFFFF"/>
        </w:rPr>
        <w:t>125. This Court is satisfied that one of those fundamental norms is the presumption of innocence. It is much more than a mere procedural trial right. It is recognised in the vast majority of the world's legal systems as being a fundamental principle of the</w:t>
      </w:r>
      <w:r w:rsidRPr="008429B0">
        <w:rPr>
          <w:rFonts w:ascii="Times" w:hAnsi="Times"/>
          <w:color w:val="000000"/>
          <w:shd w:val="clear" w:color="auto" w:fill="FFFFFF"/>
        </w:rPr>
        <w:t xml:space="preserve"> </w:t>
      </w:r>
      <w:r w:rsidRPr="00BF7C8F">
        <w:rPr>
          <w:rFonts w:ascii="Times" w:hAnsi="Times"/>
          <w:i/>
          <w:iCs/>
          <w:color w:val="000000"/>
          <w:shd w:val="clear" w:color="auto" w:fill="FFFFFF"/>
        </w:rPr>
        <w:t>justice to which every person is entitled as an aspect of their humanity. It is as old as the hills.</w:t>
      </w:r>
      <w:r w:rsidR="00BF7C8F" w:rsidRPr="00BF7C8F">
        <w:rPr>
          <w:rFonts w:ascii="Times" w:hAnsi="Times"/>
          <w:i/>
          <w:iCs/>
          <w:color w:val="000000"/>
          <w:shd w:val="clear" w:color="auto" w:fill="FFFFFF"/>
        </w:rPr>
        <w:t>’</w:t>
      </w:r>
    </w:p>
    <w:p w14:paraId="18F57B0F" w14:textId="77777777" w:rsidR="00E47B40" w:rsidRPr="00335BBC" w:rsidRDefault="00E47B40" w:rsidP="00335BBC">
      <w:pPr>
        <w:shd w:val="clear" w:color="auto" w:fill="FFFFFF"/>
        <w:spacing w:line="360" w:lineRule="auto"/>
        <w:rPr>
          <w:rFonts w:ascii="Times" w:hAnsi="Times" w:cs="Arial"/>
          <w:color w:val="000000"/>
        </w:rPr>
      </w:pPr>
    </w:p>
    <w:p w14:paraId="1B21AAD4" w14:textId="1A2D6933" w:rsidR="00536B7D" w:rsidRPr="00536B7D" w:rsidRDefault="00536B7D" w:rsidP="00335BBC">
      <w:pPr>
        <w:pStyle w:val="ListParagraph"/>
        <w:numPr>
          <w:ilvl w:val="0"/>
          <w:numId w:val="2"/>
        </w:numPr>
        <w:spacing w:line="360" w:lineRule="auto"/>
        <w:rPr>
          <w:rStyle w:val="user-highlighted-active"/>
          <w:rFonts w:ascii="Times" w:hAnsi="Times" w:cs="Open Sans"/>
          <w:color w:val="000000" w:themeColor="text1"/>
        </w:rPr>
      </w:pPr>
      <w:r>
        <w:rPr>
          <w:rStyle w:val="user-highlighted-active"/>
          <w:rFonts w:ascii="Times" w:hAnsi="Times"/>
          <w:color w:val="000000" w:themeColor="text1"/>
        </w:rPr>
        <w:t xml:space="preserve">Similar reasoning is evident in the Judgment of Hardiman J in the case of </w:t>
      </w:r>
      <w:r w:rsidRPr="00674007">
        <w:rPr>
          <w:rStyle w:val="user-highlighted-active"/>
          <w:rFonts w:ascii="Times" w:hAnsi="Times"/>
          <w:i/>
          <w:iCs/>
          <w:color w:val="000000" w:themeColor="text1"/>
        </w:rPr>
        <w:t>CC</w:t>
      </w:r>
      <w:r w:rsidR="009E610F">
        <w:rPr>
          <w:rStyle w:val="FootnoteReference"/>
          <w:rFonts w:ascii="Times" w:hAnsi="Times"/>
          <w:i/>
          <w:iCs/>
          <w:color w:val="000000" w:themeColor="text1"/>
        </w:rPr>
        <w:footnoteReference w:id="11"/>
      </w:r>
      <w:r>
        <w:rPr>
          <w:rStyle w:val="user-highlighted-active"/>
          <w:rFonts w:ascii="Times" w:hAnsi="Times"/>
          <w:color w:val="000000" w:themeColor="text1"/>
        </w:rPr>
        <w:t>, where he said that</w:t>
      </w:r>
      <w:r w:rsidR="00CC646C">
        <w:rPr>
          <w:rStyle w:val="user-highlighted-active"/>
          <w:rFonts w:ascii="Times" w:hAnsi="Times"/>
          <w:color w:val="000000" w:themeColor="text1"/>
        </w:rPr>
        <w:t>:</w:t>
      </w:r>
      <w:r>
        <w:rPr>
          <w:rStyle w:val="user-highlighted-active"/>
          <w:rFonts w:ascii="Times" w:hAnsi="Times"/>
          <w:color w:val="000000" w:themeColor="text1"/>
        </w:rPr>
        <w:t xml:space="preserve"> </w:t>
      </w:r>
    </w:p>
    <w:p w14:paraId="13C55167" w14:textId="77777777" w:rsidR="00536B7D" w:rsidRPr="0061116E" w:rsidRDefault="00536B7D" w:rsidP="00335BBC">
      <w:pPr>
        <w:pStyle w:val="ListParagraph"/>
        <w:shd w:val="clear" w:color="auto" w:fill="FFFFFF"/>
        <w:spacing w:after="240" w:line="360" w:lineRule="auto"/>
        <w:ind w:left="360"/>
        <w:jc w:val="both"/>
        <w:rPr>
          <w:rStyle w:val="user-highlighted-active"/>
          <w:rFonts w:ascii="Times" w:hAnsi="Times"/>
          <w:i/>
          <w:iCs/>
          <w:color w:val="000000" w:themeColor="text1"/>
        </w:rPr>
      </w:pPr>
    </w:p>
    <w:p w14:paraId="278891A7" w14:textId="51BB33B1" w:rsidR="00536B7D" w:rsidRPr="0061116E" w:rsidRDefault="00CC646C" w:rsidP="00335BBC">
      <w:pPr>
        <w:pStyle w:val="ListParagraph"/>
        <w:shd w:val="clear" w:color="auto" w:fill="FFFFFF"/>
        <w:spacing w:after="240" w:line="360" w:lineRule="auto"/>
        <w:jc w:val="both"/>
        <w:rPr>
          <w:rStyle w:val="user-highlighted-active"/>
          <w:rFonts w:ascii="Times" w:hAnsi="Times"/>
          <w:i/>
          <w:iCs/>
          <w:color w:val="000000" w:themeColor="text1"/>
        </w:rPr>
      </w:pPr>
      <w:r>
        <w:rPr>
          <w:rStyle w:val="user-highlighted-active"/>
          <w:rFonts w:ascii="Times" w:hAnsi="Times"/>
          <w:i/>
          <w:iCs/>
          <w:color w:val="000000" w:themeColor="text1"/>
        </w:rPr>
        <w:t>‘</w:t>
      </w:r>
      <w:r w:rsidR="00536B7D" w:rsidRPr="0061116E">
        <w:rPr>
          <w:rStyle w:val="user-highlighted-active"/>
          <w:rFonts w:ascii="Times" w:hAnsi="Times"/>
          <w:i/>
          <w:iCs/>
          <w:color w:val="000000" w:themeColor="text1"/>
        </w:rPr>
        <w:t xml:space="preserve">[To] criminalise in a serious way a person who is mentally innocent is indeed ‘to inflict a grave injury on that person's dignity and sense of worth’ and to treat him as ‘little more than a means to an end’… It appears to us that this, in turn, constitutes a failure </w:t>
      </w:r>
      <w:r w:rsidR="00536B7D" w:rsidRPr="0061116E">
        <w:rPr>
          <w:rStyle w:val="user-highlighted-active"/>
          <w:rFonts w:ascii="Times" w:hAnsi="Times"/>
          <w:i/>
          <w:iCs/>
          <w:color w:val="000000" w:themeColor="text1"/>
        </w:rPr>
        <w:lastRenderedPageBreak/>
        <w:t>by the State in its laws to respect, defend and vindicate the rights to liberty and to good name of the person so treated, contrary to the State's obligations under Article 40 of the Constitution.</w:t>
      </w:r>
      <w:r>
        <w:rPr>
          <w:rStyle w:val="user-highlighted-active"/>
          <w:rFonts w:ascii="Times" w:hAnsi="Times"/>
          <w:i/>
          <w:iCs/>
          <w:color w:val="000000" w:themeColor="text1"/>
        </w:rPr>
        <w:t>’</w:t>
      </w:r>
      <w:r w:rsidR="00536B7D" w:rsidRPr="0061116E">
        <w:rPr>
          <w:rStyle w:val="user-highlighted-active"/>
          <w:rFonts w:ascii="Times" w:hAnsi="Times"/>
          <w:i/>
          <w:iCs/>
          <w:color w:val="000000" w:themeColor="text1"/>
        </w:rPr>
        <w:t xml:space="preserve"> </w:t>
      </w:r>
    </w:p>
    <w:p w14:paraId="1FF14DDD" w14:textId="77777777" w:rsidR="00536B7D" w:rsidRDefault="00536B7D" w:rsidP="00335BBC">
      <w:pPr>
        <w:pStyle w:val="ListParagraph"/>
        <w:shd w:val="clear" w:color="auto" w:fill="FFFFFF"/>
        <w:spacing w:after="240" w:line="360" w:lineRule="auto"/>
        <w:jc w:val="both"/>
        <w:rPr>
          <w:rStyle w:val="user-highlighted-active"/>
          <w:rFonts w:ascii="Times" w:hAnsi="Times"/>
          <w:color w:val="000000" w:themeColor="text1"/>
        </w:rPr>
      </w:pPr>
    </w:p>
    <w:p w14:paraId="7C656666" w14:textId="2399990C" w:rsidR="00B71914" w:rsidRDefault="006A1B1E"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323ACA">
        <w:rPr>
          <w:rFonts w:ascii="Times" w:hAnsi="Times" w:cs="Open Sans"/>
          <w:color w:val="000000" w:themeColor="text1"/>
        </w:rPr>
        <w:t xml:space="preserve">These are the values which, it is submitted, </w:t>
      </w:r>
      <w:r w:rsidR="00CC646C">
        <w:rPr>
          <w:rFonts w:ascii="Times" w:hAnsi="Times" w:cs="Open Sans"/>
          <w:color w:val="000000" w:themeColor="text1"/>
        </w:rPr>
        <w:t xml:space="preserve">have </w:t>
      </w:r>
      <w:r w:rsidRPr="00323ACA">
        <w:rPr>
          <w:rFonts w:ascii="Times" w:hAnsi="Times" w:cs="Open Sans"/>
          <w:color w:val="000000" w:themeColor="text1"/>
        </w:rPr>
        <w:t>inform</w:t>
      </w:r>
      <w:r>
        <w:rPr>
          <w:rFonts w:ascii="Times" w:hAnsi="Times" w:cs="Open Sans"/>
          <w:color w:val="000000" w:themeColor="text1"/>
        </w:rPr>
        <w:t>ed</w:t>
      </w:r>
      <w:r w:rsidRPr="00323ACA">
        <w:rPr>
          <w:rFonts w:ascii="Times" w:hAnsi="Times" w:cs="Open Sans"/>
          <w:color w:val="000000" w:themeColor="text1"/>
        </w:rPr>
        <w:t xml:space="preserve"> the reasoning</w:t>
      </w:r>
      <w:r>
        <w:rPr>
          <w:rFonts w:ascii="Times" w:hAnsi="Times" w:cs="Open Sans"/>
          <w:color w:val="000000" w:themeColor="text1"/>
        </w:rPr>
        <w:t xml:space="preserve"> of th</w:t>
      </w:r>
      <w:r w:rsidR="00CC646C">
        <w:rPr>
          <w:rFonts w:ascii="Times" w:hAnsi="Times" w:cs="Open Sans"/>
          <w:color w:val="000000" w:themeColor="text1"/>
        </w:rPr>
        <w:t>e Irish</w:t>
      </w:r>
      <w:r>
        <w:rPr>
          <w:rFonts w:ascii="Times" w:hAnsi="Times" w:cs="Open Sans"/>
          <w:color w:val="000000" w:themeColor="text1"/>
        </w:rPr>
        <w:t xml:space="preserve"> Court</w:t>
      </w:r>
      <w:r w:rsidR="00CC646C">
        <w:rPr>
          <w:rFonts w:ascii="Times" w:hAnsi="Times" w:cs="Open Sans"/>
          <w:color w:val="000000" w:themeColor="text1"/>
        </w:rPr>
        <w:t>s</w:t>
      </w:r>
      <w:r w:rsidRPr="00323ACA">
        <w:rPr>
          <w:rFonts w:ascii="Times" w:hAnsi="Times" w:cs="Open Sans"/>
          <w:color w:val="000000" w:themeColor="text1"/>
        </w:rPr>
        <w:t xml:space="preserve"> in cases like </w:t>
      </w:r>
      <w:r w:rsidRPr="00323ACA">
        <w:rPr>
          <w:rFonts w:ascii="Times" w:hAnsi="Times" w:cs="Open Sans"/>
          <w:i/>
          <w:iCs/>
          <w:color w:val="000000" w:themeColor="text1"/>
        </w:rPr>
        <w:t>Forsey</w:t>
      </w:r>
      <w:r w:rsidR="00C80E26">
        <w:rPr>
          <w:rStyle w:val="FootnoteReference"/>
          <w:rFonts w:ascii="Times" w:hAnsi="Times" w:cs="Open Sans"/>
          <w:i/>
          <w:iCs/>
          <w:color w:val="000000" w:themeColor="text1"/>
        </w:rPr>
        <w:footnoteReference w:id="12"/>
      </w:r>
      <w:r w:rsidRPr="00323ACA">
        <w:rPr>
          <w:rFonts w:ascii="Times" w:hAnsi="Times" w:cs="Open Sans"/>
          <w:color w:val="000000" w:themeColor="text1"/>
        </w:rPr>
        <w:t xml:space="preserve"> and </w:t>
      </w:r>
      <w:r w:rsidRPr="00323ACA">
        <w:rPr>
          <w:rFonts w:ascii="Times" w:hAnsi="Times" w:cs="Open Sans"/>
          <w:i/>
          <w:iCs/>
          <w:color w:val="000000" w:themeColor="text1"/>
        </w:rPr>
        <w:t>Smyth</w:t>
      </w:r>
      <w:r w:rsidR="00C80E26">
        <w:rPr>
          <w:rStyle w:val="FootnoteReference"/>
          <w:rFonts w:ascii="Times" w:hAnsi="Times" w:cs="Open Sans"/>
          <w:i/>
          <w:iCs/>
          <w:color w:val="000000" w:themeColor="text1"/>
        </w:rPr>
        <w:footnoteReference w:id="13"/>
      </w:r>
      <w:r w:rsidRPr="00323ACA">
        <w:rPr>
          <w:rFonts w:ascii="Times" w:hAnsi="Times" w:cs="Open Sans"/>
          <w:i/>
          <w:iCs/>
          <w:color w:val="000000" w:themeColor="text1"/>
        </w:rPr>
        <w:t>;</w:t>
      </w:r>
      <w:r w:rsidRPr="00323ACA">
        <w:rPr>
          <w:rFonts w:ascii="Times" w:hAnsi="Times" w:cs="Open Sans"/>
          <w:color w:val="000000" w:themeColor="text1"/>
        </w:rPr>
        <w:t xml:space="preserve"> and which</w:t>
      </w:r>
      <w:r w:rsidRPr="00323ACA">
        <w:rPr>
          <w:rFonts w:ascii="Times" w:hAnsi="Times" w:cs="Open Sans"/>
          <w:i/>
          <w:iCs/>
          <w:color w:val="000000" w:themeColor="text1"/>
        </w:rPr>
        <w:t xml:space="preserve"> </w:t>
      </w:r>
      <w:r w:rsidRPr="00323ACA">
        <w:rPr>
          <w:rFonts w:ascii="Times" w:hAnsi="Times" w:cs="Open Sans"/>
          <w:color w:val="000000" w:themeColor="text1"/>
        </w:rPr>
        <w:t>require that an extremely high value would be placed on the presumption of innocence within the constitutional scheme.</w:t>
      </w:r>
      <w:r w:rsidR="00536B7D">
        <w:rPr>
          <w:rFonts w:ascii="Times" w:hAnsi="Times" w:cs="Open Sans"/>
          <w:color w:val="000000" w:themeColor="text1"/>
        </w:rPr>
        <w:t xml:space="preserve"> </w:t>
      </w:r>
    </w:p>
    <w:p w14:paraId="0BDD97F4" w14:textId="77777777" w:rsidR="00AF2AA7" w:rsidRDefault="00AF2AA7" w:rsidP="00335BBC">
      <w:pPr>
        <w:pStyle w:val="ListParagraph"/>
        <w:shd w:val="clear" w:color="auto" w:fill="FFFFFF"/>
        <w:spacing w:after="240" w:line="360" w:lineRule="auto"/>
        <w:ind w:left="360"/>
        <w:jc w:val="both"/>
        <w:rPr>
          <w:rFonts w:ascii="Times" w:hAnsi="Times" w:cs="Open Sans"/>
          <w:color w:val="000000" w:themeColor="text1"/>
        </w:rPr>
      </w:pPr>
    </w:p>
    <w:p w14:paraId="045A8652" w14:textId="3D5A1F25" w:rsidR="00AF2AA7" w:rsidRPr="0064272C" w:rsidRDefault="00AF2AA7" w:rsidP="0064272C">
      <w:pPr>
        <w:rPr>
          <w:rFonts w:eastAsiaTheme="majorEastAsia"/>
          <w:b/>
          <w:bCs/>
          <w:color w:val="2F5496" w:themeColor="accent1" w:themeShade="BF"/>
          <w:u w:val="single"/>
        </w:rPr>
      </w:pPr>
      <w:bookmarkStart w:id="3" w:name="_Toc128532591"/>
      <w:r w:rsidRPr="0064272C">
        <w:rPr>
          <w:b/>
          <w:u w:val="single"/>
        </w:rPr>
        <w:t>The presumption of innocence in the context of the right to a fair trial</w:t>
      </w:r>
      <w:bookmarkEnd w:id="3"/>
    </w:p>
    <w:p w14:paraId="1FDF9FA7" w14:textId="77777777" w:rsidR="00AF2AA7" w:rsidRPr="00AF2AA7" w:rsidRDefault="00AF2AA7" w:rsidP="00335BBC">
      <w:pPr>
        <w:pStyle w:val="ListParagraph"/>
        <w:spacing w:line="360" w:lineRule="auto"/>
        <w:ind w:left="360"/>
        <w:jc w:val="both"/>
        <w:rPr>
          <w:rFonts w:ascii="Times" w:hAnsi="Times" w:cs="Open Sans"/>
          <w:b/>
          <w:bCs/>
          <w:color w:val="000000" w:themeColor="text1"/>
        </w:rPr>
      </w:pPr>
    </w:p>
    <w:p w14:paraId="18827E16" w14:textId="08542FC3" w:rsidR="009C22D3" w:rsidRPr="00B71914" w:rsidRDefault="009C22D3"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E457F2">
        <w:rPr>
          <w:rFonts w:ascii="Times" w:hAnsi="Times" w:cs="Open Sans"/>
          <w:color w:val="000000" w:themeColor="text1"/>
        </w:rPr>
        <w:t xml:space="preserve">The </w:t>
      </w:r>
      <w:r w:rsidR="00B71914">
        <w:rPr>
          <w:rFonts w:ascii="Times" w:hAnsi="Times" w:cs="Open Sans"/>
          <w:color w:val="000000" w:themeColor="text1"/>
        </w:rPr>
        <w:t>presumption is clearly</w:t>
      </w:r>
      <w:r w:rsidR="00814C7E">
        <w:rPr>
          <w:rFonts w:ascii="Times" w:hAnsi="Times" w:cs="Open Sans"/>
          <w:color w:val="000000" w:themeColor="text1"/>
        </w:rPr>
        <w:t xml:space="preserve"> </w:t>
      </w:r>
      <w:r w:rsidR="00B71914">
        <w:rPr>
          <w:rFonts w:ascii="Times" w:hAnsi="Times" w:cs="Open Sans"/>
          <w:color w:val="000000" w:themeColor="text1"/>
        </w:rPr>
        <w:t xml:space="preserve">a core protection in the context of the fair trial right. This leads to the question whether </w:t>
      </w:r>
      <w:r w:rsidR="00CC646C">
        <w:rPr>
          <w:rFonts w:ascii="Times" w:hAnsi="Times" w:cs="Open Sans"/>
          <w:color w:val="000000" w:themeColor="text1"/>
        </w:rPr>
        <w:t xml:space="preserve">a </w:t>
      </w:r>
      <w:r w:rsidR="00B71914">
        <w:rPr>
          <w:rFonts w:ascii="Times" w:hAnsi="Times" w:cs="Open Sans"/>
          <w:color w:val="000000" w:themeColor="text1"/>
        </w:rPr>
        <w:t>breach of the presumption leads to the nullification of the essence of th</w:t>
      </w:r>
      <w:r w:rsidR="00814C7E">
        <w:rPr>
          <w:rFonts w:ascii="Times" w:hAnsi="Times" w:cs="Open Sans"/>
          <w:color w:val="000000" w:themeColor="text1"/>
        </w:rPr>
        <w:t>e</w:t>
      </w:r>
      <w:r w:rsidR="00B71914">
        <w:rPr>
          <w:rFonts w:ascii="Times" w:hAnsi="Times" w:cs="Open Sans"/>
          <w:color w:val="000000" w:themeColor="text1"/>
        </w:rPr>
        <w:t xml:space="preserve"> fair trial right. In this regard, the </w:t>
      </w:r>
      <w:r w:rsidRPr="00B71914">
        <w:rPr>
          <w:rFonts w:ascii="Times" w:hAnsi="Times" w:cs="Open Sans"/>
          <w:color w:val="000000" w:themeColor="text1"/>
        </w:rPr>
        <w:t>judgment of Costello P in </w:t>
      </w:r>
      <w:r w:rsidRPr="00B71914">
        <w:rPr>
          <w:rStyle w:val="Emphasis"/>
          <w:rFonts w:ascii="Times" w:hAnsi="Times" w:cs="Open Sans"/>
          <w:color w:val="000000" w:themeColor="text1"/>
        </w:rPr>
        <w:t xml:space="preserve">Donnelly v </w:t>
      </w:r>
      <w:r w:rsidR="00C80E26">
        <w:rPr>
          <w:rStyle w:val="Emphasis"/>
          <w:rFonts w:ascii="Times" w:hAnsi="Times" w:cs="Open Sans"/>
          <w:color w:val="000000" w:themeColor="text1"/>
        </w:rPr>
        <w:t>DPP</w:t>
      </w:r>
      <w:r w:rsidR="00C80E26">
        <w:rPr>
          <w:rStyle w:val="FootnoteReference"/>
          <w:rFonts w:ascii="Times" w:hAnsi="Times" w:cs="Open Sans"/>
          <w:i/>
          <w:iCs/>
          <w:color w:val="000000" w:themeColor="text1"/>
        </w:rPr>
        <w:footnoteReference w:id="14"/>
      </w:r>
      <w:r w:rsidRPr="00B71914">
        <w:rPr>
          <w:rFonts w:ascii="Times" w:hAnsi="Times" w:cs="Open Sans"/>
          <w:color w:val="000000" w:themeColor="text1"/>
        </w:rPr>
        <w:t> seem</w:t>
      </w:r>
      <w:r w:rsidR="00A70778" w:rsidRPr="00B71914">
        <w:rPr>
          <w:rFonts w:ascii="Times" w:hAnsi="Times" w:cs="Open Sans"/>
          <w:color w:val="000000" w:themeColor="text1"/>
        </w:rPr>
        <w:t xml:space="preserve">ed to </w:t>
      </w:r>
      <w:r w:rsidRPr="00B71914">
        <w:rPr>
          <w:rFonts w:ascii="Times" w:hAnsi="Times" w:cs="Open Sans"/>
          <w:color w:val="000000" w:themeColor="text1"/>
        </w:rPr>
        <w:t xml:space="preserve">reject any </w:t>
      </w:r>
      <w:r w:rsidR="00A70778" w:rsidRPr="00B71914">
        <w:rPr>
          <w:rFonts w:ascii="Times" w:hAnsi="Times" w:cs="Open Sans"/>
          <w:color w:val="000000" w:themeColor="text1"/>
        </w:rPr>
        <w:t xml:space="preserve">balancing </w:t>
      </w:r>
      <w:r w:rsidRPr="00B71914">
        <w:rPr>
          <w:rFonts w:ascii="Times" w:hAnsi="Times" w:cs="Open Sans"/>
          <w:color w:val="000000" w:themeColor="text1"/>
        </w:rPr>
        <w:t>approach</w:t>
      </w:r>
      <w:r w:rsidR="00A70778" w:rsidRPr="00B71914">
        <w:rPr>
          <w:rFonts w:ascii="Times" w:hAnsi="Times" w:cs="Open Sans"/>
          <w:color w:val="000000" w:themeColor="text1"/>
        </w:rPr>
        <w:t>, once</w:t>
      </w:r>
      <w:r w:rsidR="00B71914">
        <w:rPr>
          <w:rFonts w:ascii="Times" w:hAnsi="Times" w:cs="Open Sans"/>
          <w:color w:val="000000" w:themeColor="text1"/>
        </w:rPr>
        <w:t xml:space="preserve"> it was established that the</w:t>
      </w:r>
      <w:r w:rsidR="00A70778" w:rsidRPr="00B71914">
        <w:rPr>
          <w:rFonts w:ascii="Times" w:hAnsi="Times" w:cs="Open Sans"/>
          <w:color w:val="000000" w:themeColor="text1"/>
        </w:rPr>
        <w:t xml:space="preserve"> fair trial right </w:t>
      </w:r>
      <w:r w:rsidR="00B71914">
        <w:rPr>
          <w:rFonts w:ascii="Times" w:hAnsi="Times" w:cs="Open Sans"/>
          <w:color w:val="000000" w:themeColor="text1"/>
        </w:rPr>
        <w:t>had been</w:t>
      </w:r>
      <w:r w:rsidR="00A70778" w:rsidRPr="00B71914">
        <w:rPr>
          <w:rFonts w:ascii="Times" w:hAnsi="Times" w:cs="Open Sans"/>
          <w:color w:val="000000" w:themeColor="text1"/>
        </w:rPr>
        <w:t xml:space="preserve"> breached</w:t>
      </w:r>
      <w:r w:rsidRPr="00B71914">
        <w:rPr>
          <w:rFonts w:ascii="Times" w:hAnsi="Times" w:cs="Open Sans"/>
          <w:color w:val="000000" w:themeColor="text1"/>
        </w:rPr>
        <w:t>:</w:t>
      </w:r>
    </w:p>
    <w:p w14:paraId="41EA81DA" w14:textId="77777777" w:rsidR="009C22D3" w:rsidRPr="009C22D3" w:rsidRDefault="009C22D3" w:rsidP="00335BBC">
      <w:pPr>
        <w:pStyle w:val="ListParagraph"/>
        <w:shd w:val="clear" w:color="auto" w:fill="FFFFFF"/>
        <w:spacing w:after="240" w:line="360" w:lineRule="auto"/>
        <w:ind w:left="360"/>
        <w:rPr>
          <w:rFonts w:ascii="Times" w:hAnsi="Times" w:cs="Open Sans"/>
          <w:color w:val="000000" w:themeColor="text1"/>
        </w:rPr>
      </w:pPr>
    </w:p>
    <w:p w14:paraId="141FAA10" w14:textId="7A55B0EE" w:rsidR="00E77556" w:rsidRPr="009C22D3" w:rsidRDefault="009C22D3" w:rsidP="00335BBC">
      <w:pPr>
        <w:pStyle w:val="ListParagraph"/>
        <w:shd w:val="clear" w:color="auto" w:fill="FFFFFF"/>
        <w:spacing w:before="240" w:after="240" w:line="360" w:lineRule="auto"/>
        <w:ind w:right="800"/>
        <w:jc w:val="both"/>
        <w:rPr>
          <w:rFonts w:ascii="Times" w:hAnsi="Times" w:cs="Open Sans"/>
          <w:i/>
          <w:iCs/>
          <w:color w:val="000000" w:themeColor="text1"/>
        </w:rPr>
      </w:pPr>
      <w:r w:rsidRPr="009C22D3">
        <w:rPr>
          <w:rFonts w:ascii="Times" w:hAnsi="Times" w:cs="Open Sans"/>
          <w:i/>
          <w:iCs/>
          <w:color w:val="000000" w:themeColor="text1"/>
        </w:rPr>
        <w:t>‘When the validity of a statute enacted to assist victims of crime is challenged on constitutional grounds, this challenge can be formulated in different ways. For example, it may be suggested that the victims of crime have “rights” and that an accused has “rights” and that the court’s task is to balance these rights, and decide whether the rights of the accused have been unduly restricted by laws designed to uphold victims rights. It seems to me, however, that this is not the way to approach the task with which the Court is now confronted ... there can be no question of balancing conflicting rights – if the procedures are unfair this section must be condemned.’</w:t>
      </w:r>
    </w:p>
    <w:p w14:paraId="53BBC5EE" w14:textId="77777777" w:rsidR="009C22D3" w:rsidRPr="009C22D3" w:rsidRDefault="009C22D3" w:rsidP="00335BBC">
      <w:pPr>
        <w:pStyle w:val="ListParagraph"/>
        <w:shd w:val="clear" w:color="auto" w:fill="FFFFFF"/>
        <w:spacing w:before="240" w:after="240" w:line="360" w:lineRule="auto"/>
        <w:ind w:right="800"/>
        <w:jc w:val="both"/>
        <w:rPr>
          <w:rFonts w:ascii="Times" w:hAnsi="Times" w:cs="Open Sans"/>
          <w:color w:val="000000" w:themeColor="text1"/>
        </w:rPr>
      </w:pPr>
    </w:p>
    <w:p w14:paraId="0EDA3BB2" w14:textId="16B98B16" w:rsidR="00B71914" w:rsidRPr="00814C7E" w:rsidRDefault="00A70778" w:rsidP="00335BBC">
      <w:pPr>
        <w:pStyle w:val="ListParagraph"/>
        <w:numPr>
          <w:ilvl w:val="0"/>
          <w:numId w:val="2"/>
        </w:numPr>
        <w:shd w:val="clear" w:color="auto" w:fill="FFFFFF"/>
        <w:spacing w:after="240" w:line="360" w:lineRule="auto"/>
        <w:jc w:val="both"/>
        <w:rPr>
          <w:rFonts w:ascii="Times" w:hAnsi="Times" w:cs="Open Sans"/>
          <w:i/>
          <w:iCs/>
          <w:color w:val="000000" w:themeColor="text1"/>
        </w:rPr>
      </w:pPr>
      <w:r>
        <w:rPr>
          <w:rFonts w:ascii="Times" w:hAnsi="Times" w:cs="Open Sans"/>
          <w:color w:val="000000" w:themeColor="text1"/>
        </w:rPr>
        <w:t xml:space="preserve">These comments </w:t>
      </w:r>
      <w:r w:rsidR="00B71914">
        <w:rPr>
          <w:rFonts w:ascii="Times" w:hAnsi="Times" w:cs="Open Sans"/>
          <w:color w:val="000000" w:themeColor="text1"/>
        </w:rPr>
        <w:t xml:space="preserve">may </w:t>
      </w:r>
      <w:r>
        <w:rPr>
          <w:rFonts w:ascii="Times" w:hAnsi="Times" w:cs="Open Sans"/>
          <w:color w:val="000000" w:themeColor="text1"/>
        </w:rPr>
        <w:t xml:space="preserve">reflect </w:t>
      </w:r>
      <w:r w:rsidR="00CC646C">
        <w:rPr>
          <w:rFonts w:ascii="Times" w:hAnsi="Times" w:cs="Open Sans"/>
          <w:color w:val="000000" w:themeColor="text1"/>
        </w:rPr>
        <w:t>a related</w:t>
      </w:r>
      <w:r>
        <w:rPr>
          <w:rFonts w:ascii="Times" w:hAnsi="Times" w:cs="Open Sans"/>
          <w:color w:val="000000" w:themeColor="text1"/>
        </w:rPr>
        <w:t xml:space="preserve"> concern voiced by the same Judge in </w:t>
      </w:r>
      <w:r w:rsidRPr="00A70778">
        <w:rPr>
          <w:rFonts w:ascii="Times" w:hAnsi="Times" w:cs="Open Sans"/>
          <w:i/>
          <w:iCs/>
          <w:color w:val="000000" w:themeColor="text1"/>
        </w:rPr>
        <w:t>Murray v Ireland</w:t>
      </w:r>
      <w:r w:rsidR="00C80E26">
        <w:rPr>
          <w:rStyle w:val="FootnoteReference"/>
          <w:rFonts w:ascii="Times" w:hAnsi="Times" w:cs="Open Sans"/>
          <w:i/>
          <w:iCs/>
          <w:color w:val="000000" w:themeColor="text1"/>
        </w:rPr>
        <w:footnoteReference w:id="15"/>
      </w:r>
      <w:r>
        <w:rPr>
          <w:rFonts w:ascii="Times" w:hAnsi="Times" w:cs="Open Sans"/>
          <w:i/>
          <w:iCs/>
          <w:color w:val="000000" w:themeColor="text1"/>
        </w:rPr>
        <w:t xml:space="preserve">, </w:t>
      </w:r>
      <w:r>
        <w:rPr>
          <w:rFonts w:ascii="Times" w:hAnsi="Times" w:cs="Open Sans"/>
          <w:color w:val="000000" w:themeColor="text1"/>
        </w:rPr>
        <w:t xml:space="preserve">about the </w:t>
      </w:r>
      <w:r w:rsidRPr="00A70778">
        <w:rPr>
          <w:rFonts w:ascii="Times" w:hAnsi="Times" w:cs="Open Sans"/>
          <w:i/>
          <w:iCs/>
          <w:color w:val="000000" w:themeColor="text1"/>
        </w:rPr>
        <w:t>‘</w:t>
      </w:r>
      <w:r w:rsidRPr="00A70778">
        <w:rPr>
          <w:rFonts w:ascii="Times" w:hAnsi="Times" w:cs="Open Sans"/>
          <w:i/>
          <w:iCs/>
          <w:color w:val="000000" w:themeColor="text1"/>
          <w:shd w:val="clear" w:color="auto" w:fill="FFFFFF"/>
        </w:rPr>
        <w:t>the indiscriminate ascriptions of “rights” to the State’</w:t>
      </w:r>
      <w:r>
        <w:rPr>
          <w:rFonts w:ascii="Times" w:hAnsi="Times" w:cs="Open Sans"/>
          <w:color w:val="000000" w:themeColor="text1"/>
          <w:shd w:val="clear" w:color="auto" w:fill="FFFFFF"/>
        </w:rPr>
        <w:t>.</w:t>
      </w:r>
      <w:r w:rsidR="005E4EF9">
        <w:rPr>
          <w:rFonts w:ascii="Times" w:hAnsi="Times" w:cs="Open Sans"/>
          <w:color w:val="000000" w:themeColor="text1"/>
          <w:shd w:val="clear" w:color="auto" w:fill="FFFFFF"/>
        </w:rPr>
        <w:t xml:space="preserve"> </w:t>
      </w:r>
      <w:r w:rsidR="005F5139">
        <w:rPr>
          <w:rFonts w:ascii="Times" w:hAnsi="Times" w:cs="Open Sans"/>
          <w:color w:val="000000" w:themeColor="text1"/>
          <w:shd w:val="clear" w:color="auto" w:fill="FFFFFF"/>
        </w:rPr>
        <w:t>T</w:t>
      </w:r>
      <w:r w:rsidR="00B71914" w:rsidRPr="00814C7E">
        <w:rPr>
          <w:rFonts w:ascii="Times" w:hAnsi="Times" w:cs="Open Sans"/>
          <w:color w:val="000000" w:themeColor="text1"/>
          <w:shd w:val="clear" w:color="auto" w:fill="FFFFFF"/>
        </w:rPr>
        <w:t>his Court has found</w:t>
      </w:r>
      <w:r w:rsidR="005F5139">
        <w:rPr>
          <w:rFonts w:ascii="Times" w:hAnsi="Times" w:cs="Open Sans"/>
          <w:color w:val="000000" w:themeColor="text1"/>
          <w:shd w:val="clear" w:color="auto" w:fill="FFFFFF"/>
        </w:rPr>
        <w:t>,</w:t>
      </w:r>
      <w:r w:rsidRPr="00814C7E">
        <w:rPr>
          <w:rFonts w:ascii="Times" w:hAnsi="Times" w:cs="Open Sans"/>
          <w:color w:val="000000" w:themeColor="text1"/>
          <w:shd w:val="clear" w:color="auto" w:fill="FFFFFF"/>
        </w:rPr>
        <w:t xml:space="preserve"> </w:t>
      </w:r>
      <w:r w:rsidR="005E4EF9" w:rsidRPr="00814C7E">
        <w:rPr>
          <w:rFonts w:ascii="Times" w:hAnsi="Times" w:cs="Open Sans"/>
          <w:color w:val="000000" w:themeColor="text1"/>
          <w:shd w:val="clear" w:color="auto" w:fill="FFFFFF"/>
        </w:rPr>
        <w:t>however</w:t>
      </w:r>
      <w:r w:rsidR="005F5139">
        <w:rPr>
          <w:rFonts w:ascii="Times" w:hAnsi="Times" w:cs="Open Sans"/>
          <w:color w:val="000000" w:themeColor="text1"/>
          <w:shd w:val="clear" w:color="auto" w:fill="FFFFFF"/>
        </w:rPr>
        <w:t>,</w:t>
      </w:r>
      <w:r w:rsidR="005E4EF9" w:rsidRPr="00814C7E">
        <w:rPr>
          <w:rFonts w:ascii="Times" w:hAnsi="Times" w:cs="Open Sans"/>
          <w:color w:val="000000" w:themeColor="text1"/>
          <w:shd w:val="clear" w:color="auto" w:fill="FFFFFF"/>
        </w:rPr>
        <w:t xml:space="preserve"> that the rights of victims and the right of the community to protection are </w:t>
      </w:r>
      <w:r w:rsidR="005E4EF9" w:rsidRPr="00814C7E">
        <w:rPr>
          <w:rFonts w:ascii="Times" w:hAnsi="Times" w:cs="Open Sans"/>
          <w:color w:val="000000" w:themeColor="text1"/>
          <w:shd w:val="clear" w:color="auto" w:fill="FFFFFF"/>
        </w:rPr>
        <w:lastRenderedPageBreak/>
        <w:t>engaged</w:t>
      </w:r>
      <w:r w:rsidR="00814C7E" w:rsidRPr="00814C7E">
        <w:rPr>
          <w:rFonts w:ascii="Times" w:hAnsi="Times" w:cs="Open Sans"/>
          <w:color w:val="000000" w:themeColor="text1"/>
          <w:shd w:val="clear" w:color="auto" w:fill="FFFFFF"/>
        </w:rPr>
        <w:t xml:space="preserve"> in the criminal context</w:t>
      </w:r>
      <w:r w:rsidR="00CC646C" w:rsidRPr="00814C7E">
        <w:rPr>
          <w:rFonts w:ascii="Times" w:hAnsi="Times" w:cs="Open Sans"/>
          <w:color w:val="000000" w:themeColor="text1"/>
          <w:shd w:val="clear" w:color="auto" w:fill="FFFFFF"/>
        </w:rPr>
        <w:t>,</w:t>
      </w:r>
      <w:r w:rsidR="00B71914" w:rsidRPr="00814C7E">
        <w:rPr>
          <w:rFonts w:ascii="Times" w:hAnsi="Times" w:cs="Open Sans"/>
          <w:color w:val="000000" w:themeColor="text1"/>
          <w:shd w:val="clear" w:color="auto" w:fill="FFFFFF"/>
        </w:rPr>
        <w:t xml:space="preserve"> and not just State interests.</w:t>
      </w:r>
      <w:r w:rsidR="00CC646C" w:rsidRPr="00814C7E">
        <w:rPr>
          <w:rFonts w:ascii="Times" w:hAnsi="Times" w:cs="Open Sans"/>
          <w:color w:val="000000" w:themeColor="text1"/>
          <w:shd w:val="clear" w:color="auto" w:fill="FFFFFF"/>
        </w:rPr>
        <w:t xml:space="preserve"> </w:t>
      </w:r>
      <w:r w:rsidR="005E4EF9" w:rsidRPr="007F4178">
        <w:t>O’Higgins C</w:t>
      </w:r>
      <w:r w:rsidR="005E4EF9">
        <w:t>.</w:t>
      </w:r>
      <w:r w:rsidR="005E4EF9" w:rsidRPr="007F4178">
        <w:t>J</w:t>
      </w:r>
      <w:r w:rsidR="005E4EF9">
        <w:t>.</w:t>
      </w:r>
      <w:r w:rsidR="005E4EF9" w:rsidRPr="007F4178">
        <w:t xml:space="preserve"> </w:t>
      </w:r>
      <w:r w:rsidR="005E4EF9">
        <w:t xml:space="preserve">said, </w:t>
      </w:r>
      <w:r w:rsidR="005E4EF9" w:rsidRPr="00814C7E">
        <w:rPr>
          <w:i/>
          <w:iCs/>
        </w:rPr>
        <w:t xml:space="preserve">In </w:t>
      </w:r>
      <w:r w:rsidR="00B71914" w:rsidRPr="00814C7E">
        <w:rPr>
          <w:i/>
          <w:iCs/>
        </w:rPr>
        <w:t>the Matter of the</w:t>
      </w:r>
      <w:r w:rsidR="005E4EF9">
        <w:t xml:space="preserve"> </w:t>
      </w:r>
      <w:r w:rsidR="005E4EF9" w:rsidRPr="00814C7E">
        <w:rPr>
          <w:i/>
          <w:iCs/>
        </w:rPr>
        <w:t>Criminal Law (Jurisdiction) Bill, 1975</w:t>
      </w:r>
      <w:r w:rsidR="00C80E26">
        <w:rPr>
          <w:rStyle w:val="FootnoteReference"/>
          <w:i/>
          <w:iCs/>
        </w:rPr>
        <w:footnoteReference w:id="16"/>
      </w:r>
      <w:r w:rsidR="005E4EF9" w:rsidRPr="007F4178">
        <w:t> </w:t>
      </w:r>
      <w:r w:rsidR="005E4EF9">
        <w:t xml:space="preserve">that: </w:t>
      </w:r>
    </w:p>
    <w:p w14:paraId="1D817E80" w14:textId="77777777" w:rsidR="00B71914" w:rsidRPr="00B71914" w:rsidRDefault="00B71914" w:rsidP="00335BBC">
      <w:pPr>
        <w:pStyle w:val="ListParagraph"/>
        <w:shd w:val="clear" w:color="auto" w:fill="FFFFFF"/>
        <w:spacing w:after="240" w:line="360" w:lineRule="auto"/>
        <w:ind w:left="360"/>
        <w:jc w:val="both"/>
        <w:rPr>
          <w:rFonts w:ascii="Times" w:hAnsi="Times" w:cs="Open Sans"/>
          <w:i/>
          <w:iCs/>
          <w:color w:val="000000" w:themeColor="text1"/>
        </w:rPr>
      </w:pPr>
    </w:p>
    <w:p w14:paraId="26EE730A" w14:textId="3BBE4E9A" w:rsidR="005E4EF9" w:rsidRPr="00B71914" w:rsidRDefault="005E4EF9" w:rsidP="00335BBC">
      <w:pPr>
        <w:pStyle w:val="ListParagraph"/>
        <w:shd w:val="clear" w:color="auto" w:fill="FFFFFF"/>
        <w:spacing w:after="240" w:line="360" w:lineRule="auto"/>
        <w:jc w:val="both"/>
        <w:rPr>
          <w:rFonts w:ascii="Times" w:hAnsi="Times" w:cs="Open Sans"/>
          <w:i/>
          <w:iCs/>
          <w:color w:val="000000" w:themeColor="text1"/>
        </w:rPr>
      </w:pPr>
      <w:r w:rsidRPr="00B71914">
        <w:rPr>
          <w:rFonts w:ascii="Times" w:hAnsi="Times" w:cs="Open Sans"/>
          <w:i/>
          <w:iCs/>
          <w:color w:val="000000" w:themeColor="text1"/>
        </w:rPr>
        <w:t>‘The phrase “due course of law” requires a fair and just balance between the exercise of individual freedoms and the requirements of an ordered society.’</w:t>
      </w:r>
    </w:p>
    <w:p w14:paraId="2BF0C63B" w14:textId="77777777" w:rsidR="005E4EF9" w:rsidRPr="005E4EF9" w:rsidRDefault="005E4EF9" w:rsidP="00335BBC">
      <w:pPr>
        <w:pStyle w:val="ListParagraph"/>
        <w:shd w:val="clear" w:color="auto" w:fill="FFFFFF"/>
        <w:spacing w:after="240" w:line="360" w:lineRule="auto"/>
        <w:ind w:left="360"/>
        <w:jc w:val="both"/>
        <w:rPr>
          <w:rFonts w:ascii="Times" w:hAnsi="Times" w:cs="Open Sans"/>
          <w:i/>
          <w:iCs/>
          <w:color w:val="000000" w:themeColor="text1"/>
        </w:rPr>
      </w:pPr>
    </w:p>
    <w:p w14:paraId="3D0906F4" w14:textId="53D1C7F0" w:rsidR="00A70778" w:rsidRPr="005E4EF9" w:rsidRDefault="005E4EF9" w:rsidP="00335BBC">
      <w:pPr>
        <w:pStyle w:val="ListParagraph"/>
        <w:numPr>
          <w:ilvl w:val="0"/>
          <w:numId w:val="2"/>
        </w:numPr>
        <w:shd w:val="clear" w:color="auto" w:fill="FFFFFF"/>
        <w:spacing w:after="240" w:line="360" w:lineRule="auto"/>
        <w:jc w:val="both"/>
        <w:rPr>
          <w:rFonts w:ascii="Times" w:hAnsi="Times" w:cs="Open Sans"/>
          <w:color w:val="000000" w:themeColor="text1"/>
          <w:shd w:val="clear" w:color="auto" w:fill="FFFFFF"/>
        </w:rPr>
      </w:pPr>
      <w:r>
        <w:t>Similarly</w:t>
      </w:r>
      <w:r w:rsidR="009C22D3" w:rsidRPr="009C22D3">
        <w:t xml:space="preserve">, </w:t>
      </w:r>
      <w:r w:rsidR="00A70778">
        <w:t>Hamilton C.J.</w:t>
      </w:r>
      <w:r w:rsidR="009C22D3" w:rsidRPr="005E4EF9">
        <w:rPr>
          <w:i/>
          <w:iCs/>
        </w:rPr>
        <w:t xml:space="preserve"> </w:t>
      </w:r>
      <w:r w:rsidR="009C22D3" w:rsidRPr="00A70778">
        <w:t>said in</w:t>
      </w:r>
      <w:r w:rsidR="009C22D3" w:rsidRPr="005E4EF9">
        <w:rPr>
          <w:i/>
          <w:iCs/>
        </w:rPr>
        <w:t xml:space="preserve"> Rock v Ireland</w:t>
      </w:r>
      <w:r w:rsidR="00C80E26">
        <w:rPr>
          <w:rStyle w:val="FootnoteReference"/>
          <w:i/>
          <w:iCs/>
        </w:rPr>
        <w:footnoteReference w:id="17"/>
      </w:r>
      <w:r w:rsidR="00A70778" w:rsidRPr="005E4EF9">
        <w:rPr>
          <w:i/>
          <w:iCs/>
        </w:rPr>
        <w:t>:</w:t>
      </w:r>
    </w:p>
    <w:p w14:paraId="152782C4" w14:textId="735403FC" w:rsidR="00A70778" w:rsidRPr="00A70778" w:rsidRDefault="00A70778" w:rsidP="00335BBC">
      <w:pPr>
        <w:pStyle w:val="NormalWeb"/>
        <w:shd w:val="clear" w:color="auto" w:fill="FFFFFF"/>
        <w:spacing w:before="0" w:beforeAutospacing="0" w:line="360" w:lineRule="auto"/>
        <w:ind w:left="720"/>
        <w:jc w:val="both"/>
        <w:rPr>
          <w:rFonts w:ascii="Times" w:hAnsi="Times"/>
          <w:i/>
          <w:iCs/>
          <w:color w:val="000000" w:themeColor="text1"/>
        </w:rPr>
      </w:pPr>
      <w:r w:rsidRPr="00A70778">
        <w:rPr>
          <w:rFonts w:ascii="Times" w:hAnsi="Times"/>
          <w:i/>
          <w:iCs/>
          <w:color w:val="000000" w:themeColor="text1"/>
        </w:rPr>
        <w:t>‘The protection of citizens from attacks on their person or property is, to some degree, an aim of all criminal legislation. It is a constitutional duty which is imposed on the State and the State is entitled to act on it, as long as due regard is had for the constitutional rights of accused persons. To suggest, therefore, as counsel for the applicant did in this case, that there is no conflict of rights in this instance, is misleading.</w:t>
      </w:r>
    </w:p>
    <w:p w14:paraId="635AC0F2" w14:textId="200F3E4C" w:rsidR="00A70778" w:rsidRPr="00A70778" w:rsidRDefault="00A70778" w:rsidP="00335BBC">
      <w:pPr>
        <w:pStyle w:val="NormalWeb"/>
        <w:shd w:val="clear" w:color="auto" w:fill="FFFFFF"/>
        <w:spacing w:before="0" w:beforeAutospacing="0" w:line="360" w:lineRule="auto"/>
        <w:ind w:left="720"/>
        <w:jc w:val="both"/>
        <w:rPr>
          <w:rFonts w:ascii="Times" w:hAnsi="Times"/>
          <w:i/>
          <w:iCs/>
          <w:color w:val="000000" w:themeColor="text1"/>
        </w:rPr>
      </w:pPr>
      <w:r w:rsidRPr="00A70778">
        <w:rPr>
          <w:rFonts w:ascii="Times" w:hAnsi="Times"/>
          <w:i/>
          <w:iCs/>
          <w:color w:val="000000" w:themeColor="text1"/>
        </w:rPr>
        <w:t>The question to be considered by this Court is whether the restrictions which the impugned sections place on the right to silence is any greater than is necessary to enable the State to fulfil its constitutional obligation.’</w:t>
      </w:r>
    </w:p>
    <w:p w14:paraId="0C8D9970" w14:textId="06B8CC1A" w:rsidR="005E4EF9" w:rsidRPr="005E4EF9" w:rsidRDefault="005E4EF9" w:rsidP="00335BBC">
      <w:pPr>
        <w:pStyle w:val="ListParagraph"/>
        <w:numPr>
          <w:ilvl w:val="0"/>
          <w:numId w:val="2"/>
        </w:numPr>
        <w:shd w:val="clear" w:color="auto" w:fill="FFFFFF"/>
        <w:spacing w:after="240" w:line="360" w:lineRule="auto"/>
        <w:jc w:val="both"/>
        <w:rPr>
          <w:rFonts w:ascii="Times" w:hAnsi="Times" w:cs="Open Sans"/>
          <w:i/>
          <w:iCs/>
          <w:color w:val="000000" w:themeColor="text1"/>
        </w:rPr>
      </w:pPr>
      <w:r>
        <w:rPr>
          <w:rFonts w:ascii="Times" w:hAnsi="Times" w:cs="Open Sans"/>
          <w:color w:val="000000" w:themeColor="text1"/>
        </w:rPr>
        <w:t xml:space="preserve">It might be noted that in </w:t>
      </w:r>
      <w:r w:rsidRPr="005E4EF9">
        <w:rPr>
          <w:rFonts w:ascii="Times" w:hAnsi="Times" w:cs="Open Sans"/>
          <w:i/>
          <w:iCs/>
          <w:color w:val="000000" w:themeColor="text1"/>
        </w:rPr>
        <w:t>Rock</w:t>
      </w:r>
      <w:r>
        <w:rPr>
          <w:rFonts w:ascii="Times" w:hAnsi="Times" w:cs="Open Sans"/>
          <w:color w:val="000000" w:themeColor="text1"/>
        </w:rPr>
        <w:t xml:space="preserve">, the Supreme Court went on to refer to </w:t>
      </w:r>
      <w:r w:rsidR="00CC646C">
        <w:rPr>
          <w:rFonts w:ascii="Times" w:hAnsi="Times" w:cs="Open Sans"/>
          <w:color w:val="000000" w:themeColor="text1"/>
        </w:rPr>
        <w:t xml:space="preserve">both the </w:t>
      </w:r>
      <w:r w:rsidR="00CC646C" w:rsidRPr="00CC646C">
        <w:rPr>
          <w:rFonts w:ascii="Times" w:hAnsi="Times" w:cs="Open Sans"/>
          <w:i/>
          <w:iCs/>
          <w:color w:val="000000" w:themeColor="text1"/>
        </w:rPr>
        <w:t xml:space="preserve">Heaney </w:t>
      </w:r>
      <w:r>
        <w:rPr>
          <w:rFonts w:ascii="Times" w:hAnsi="Times" w:cs="Open Sans"/>
          <w:color w:val="000000" w:themeColor="text1"/>
        </w:rPr>
        <w:t xml:space="preserve">proportionality </w:t>
      </w:r>
      <w:r w:rsidR="00CC646C">
        <w:rPr>
          <w:rFonts w:ascii="Times" w:hAnsi="Times" w:cs="Open Sans"/>
          <w:color w:val="000000" w:themeColor="text1"/>
        </w:rPr>
        <w:t>test</w:t>
      </w:r>
      <w:r>
        <w:rPr>
          <w:rFonts w:ascii="Times" w:hAnsi="Times" w:cs="Open Sans"/>
          <w:color w:val="000000" w:themeColor="text1"/>
        </w:rPr>
        <w:t xml:space="preserve"> and to </w:t>
      </w:r>
      <w:r w:rsidRPr="005E4EF9">
        <w:rPr>
          <w:rFonts w:ascii="Times" w:hAnsi="Times" w:cs="Open Sans"/>
          <w:i/>
          <w:iCs/>
          <w:color w:val="000000" w:themeColor="text1"/>
        </w:rPr>
        <w:t xml:space="preserve">Tuohy v Courtney </w:t>
      </w:r>
      <w:r w:rsidRPr="005E4EF9">
        <w:rPr>
          <w:rFonts w:ascii="Times" w:hAnsi="Times" w:cs="Open Sans"/>
          <w:color w:val="000000" w:themeColor="text1"/>
        </w:rPr>
        <w:t>and</w:t>
      </w:r>
      <w:r>
        <w:rPr>
          <w:rFonts w:ascii="Times" w:hAnsi="Times" w:cs="Open Sans"/>
          <w:color w:val="000000" w:themeColor="text1"/>
        </w:rPr>
        <w:t xml:space="preserve"> found that</w:t>
      </w:r>
      <w:r w:rsidRPr="005E4EF9">
        <w:rPr>
          <w:rFonts w:ascii="Times" w:hAnsi="Times" w:cs="Open Sans"/>
          <w:color w:val="000000" w:themeColor="text1"/>
        </w:rPr>
        <w:t>:</w:t>
      </w:r>
    </w:p>
    <w:p w14:paraId="61523E9A" w14:textId="500936F1" w:rsidR="005E4EF9" w:rsidRPr="005E4EF9" w:rsidRDefault="005E4EF9" w:rsidP="00335BBC">
      <w:pPr>
        <w:pStyle w:val="ListParagraph"/>
        <w:shd w:val="clear" w:color="auto" w:fill="FFFFFF"/>
        <w:spacing w:after="240" w:line="360" w:lineRule="auto"/>
        <w:ind w:left="360"/>
        <w:jc w:val="both"/>
        <w:rPr>
          <w:rFonts w:ascii="Times" w:hAnsi="Times" w:cs="Open Sans"/>
          <w:i/>
          <w:iCs/>
          <w:color w:val="000000" w:themeColor="text1"/>
        </w:rPr>
      </w:pPr>
      <w:r>
        <w:rPr>
          <w:rFonts w:ascii="Times" w:hAnsi="Times" w:cs="Open Sans"/>
          <w:i/>
          <w:iCs/>
          <w:color w:val="000000" w:themeColor="text1"/>
        </w:rPr>
        <w:t xml:space="preserve"> </w:t>
      </w:r>
    </w:p>
    <w:p w14:paraId="1D265D21" w14:textId="3D83551C" w:rsidR="005E4EF9" w:rsidRPr="005E4EF9" w:rsidRDefault="005E4EF9" w:rsidP="00335BBC">
      <w:pPr>
        <w:pStyle w:val="ListParagraph"/>
        <w:shd w:val="clear" w:color="auto" w:fill="FFFFFF"/>
        <w:spacing w:after="240" w:line="360" w:lineRule="auto"/>
        <w:jc w:val="both"/>
        <w:rPr>
          <w:rFonts w:ascii="Times" w:hAnsi="Times" w:cs="Open Sans"/>
          <w:i/>
          <w:iCs/>
          <w:color w:val="000000" w:themeColor="text1"/>
        </w:rPr>
      </w:pPr>
      <w:r>
        <w:rPr>
          <w:rFonts w:ascii="Times" w:hAnsi="Times"/>
          <w:i/>
          <w:iCs/>
          <w:color w:val="000000" w:themeColor="text1"/>
          <w:shd w:val="clear" w:color="auto" w:fill="FFFFFF"/>
        </w:rPr>
        <w:t>‘</w:t>
      </w:r>
      <w:r w:rsidRPr="005E4EF9">
        <w:rPr>
          <w:rFonts w:ascii="Times" w:hAnsi="Times"/>
          <w:i/>
          <w:iCs/>
          <w:color w:val="000000" w:themeColor="text1"/>
          <w:shd w:val="clear" w:color="auto" w:fill="FFFFFF"/>
        </w:rPr>
        <w:t>the legislature was seeking to balance the individual's right to avoid self-incrimination with the right and duty of the State to defend and protect the life, person and property of all its citizens. In this situation, the function of the Court is not to decide whether a perfect balance has been achieved, but merely to decide whether, in restricting individual constitutional rights, the legislature have acted within the range of what is permissible</w:t>
      </w:r>
      <w:r>
        <w:rPr>
          <w:rFonts w:ascii="Times" w:hAnsi="Times"/>
          <w:i/>
          <w:iCs/>
          <w:color w:val="000000" w:themeColor="text1"/>
          <w:shd w:val="clear" w:color="auto" w:fill="FFFFFF"/>
        </w:rPr>
        <w:t>.’</w:t>
      </w:r>
      <w:r w:rsidR="00C80E26">
        <w:rPr>
          <w:rStyle w:val="FootnoteReference"/>
          <w:rFonts w:ascii="Times" w:hAnsi="Times"/>
          <w:i/>
          <w:iCs/>
          <w:color w:val="000000" w:themeColor="text1"/>
          <w:shd w:val="clear" w:color="auto" w:fill="FFFFFF"/>
        </w:rPr>
        <w:footnoteReference w:id="18"/>
      </w:r>
    </w:p>
    <w:p w14:paraId="15F8A17E" w14:textId="77777777" w:rsidR="009C22D3" w:rsidRPr="009C22D3" w:rsidRDefault="009C22D3" w:rsidP="00335BBC">
      <w:pPr>
        <w:pStyle w:val="ListParagraph"/>
        <w:shd w:val="clear" w:color="auto" w:fill="FFFFFF"/>
        <w:spacing w:after="240" w:line="360" w:lineRule="auto"/>
        <w:ind w:left="360"/>
        <w:jc w:val="both"/>
        <w:rPr>
          <w:rFonts w:ascii="Times" w:hAnsi="Times" w:cs="Open Sans"/>
          <w:i/>
          <w:iCs/>
          <w:color w:val="000000" w:themeColor="text1"/>
        </w:rPr>
      </w:pPr>
    </w:p>
    <w:p w14:paraId="474E1F59" w14:textId="413196BA" w:rsidR="009B2503" w:rsidRPr="00EE7625" w:rsidRDefault="005E4EF9" w:rsidP="00335BBC">
      <w:pPr>
        <w:pStyle w:val="ListParagraph"/>
        <w:numPr>
          <w:ilvl w:val="0"/>
          <w:numId w:val="2"/>
        </w:numPr>
        <w:shd w:val="clear" w:color="auto" w:fill="FFFFFF"/>
        <w:spacing w:after="240" w:line="360" w:lineRule="auto"/>
        <w:jc w:val="both"/>
        <w:rPr>
          <w:rFonts w:ascii="Times" w:hAnsi="Times" w:cs="Open Sans"/>
          <w:i/>
          <w:iCs/>
          <w:color w:val="000000" w:themeColor="text1"/>
        </w:rPr>
      </w:pPr>
      <w:r>
        <w:rPr>
          <w:rFonts w:ascii="Times" w:hAnsi="Times" w:cs="Open Sans"/>
          <w:color w:val="000000" w:themeColor="text1"/>
        </w:rPr>
        <w:t xml:space="preserve">The Commission would respectfully suggest however, that the </w:t>
      </w:r>
      <w:r w:rsidRPr="00B71914">
        <w:rPr>
          <w:rFonts w:ascii="Times" w:hAnsi="Times" w:cs="Open Sans"/>
          <w:i/>
          <w:iCs/>
          <w:color w:val="000000" w:themeColor="text1"/>
        </w:rPr>
        <w:t>‘range of what is permissible’</w:t>
      </w:r>
      <w:r>
        <w:rPr>
          <w:rFonts w:ascii="Times" w:hAnsi="Times" w:cs="Open Sans"/>
          <w:color w:val="000000" w:themeColor="text1"/>
        </w:rPr>
        <w:t xml:space="preserve"> </w:t>
      </w:r>
      <w:r w:rsidR="006D1269">
        <w:rPr>
          <w:rFonts w:ascii="Times" w:hAnsi="Times" w:cs="Open Sans"/>
          <w:color w:val="000000" w:themeColor="text1"/>
        </w:rPr>
        <w:t xml:space="preserve">in respect of Article 38.1 </w:t>
      </w:r>
      <w:r w:rsidR="00814C7E">
        <w:rPr>
          <w:rFonts w:ascii="Times" w:hAnsi="Times" w:cs="Open Sans"/>
          <w:color w:val="000000" w:themeColor="text1"/>
        </w:rPr>
        <w:t>is</w:t>
      </w:r>
      <w:r>
        <w:rPr>
          <w:rFonts w:ascii="Times" w:hAnsi="Times" w:cs="Open Sans"/>
          <w:color w:val="000000" w:themeColor="text1"/>
        </w:rPr>
        <w:t xml:space="preserve"> </w:t>
      </w:r>
      <w:r w:rsidR="00B71914">
        <w:rPr>
          <w:rFonts w:ascii="Times" w:hAnsi="Times" w:cs="Open Sans"/>
          <w:color w:val="000000" w:themeColor="text1"/>
        </w:rPr>
        <w:t xml:space="preserve">constrained </w:t>
      </w:r>
      <w:r w:rsidR="00814C7E">
        <w:rPr>
          <w:rFonts w:ascii="Times" w:hAnsi="Times" w:cs="Open Sans"/>
          <w:color w:val="000000" w:themeColor="text1"/>
        </w:rPr>
        <w:t>by</w:t>
      </w:r>
      <w:r w:rsidR="00B71914">
        <w:rPr>
          <w:rFonts w:ascii="Times" w:hAnsi="Times" w:cs="Open Sans"/>
          <w:color w:val="000000" w:themeColor="text1"/>
        </w:rPr>
        <w:t xml:space="preserve"> the </w:t>
      </w:r>
      <w:r w:rsidR="006D1269">
        <w:rPr>
          <w:rFonts w:ascii="Times" w:hAnsi="Times" w:cs="Open Sans"/>
          <w:color w:val="000000" w:themeColor="text1"/>
        </w:rPr>
        <w:t xml:space="preserve">importance of the rights </w:t>
      </w:r>
      <w:r w:rsidR="009B2503">
        <w:rPr>
          <w:rFonts w:ascii="Times" w:hAnsi="Times" w:cs="Open Sans"/>
          <w:color w:val="000000" w:themeColor="text1"/>
        </w:rPr>
        <w:lastRenderedPageBreak/>
        <w:t>involved and the language in which they are expressed</w:t>
      </w:r>
      <w:r w:rsidR="006D1269">
        <w:rPr>
          <w:rFonts w:ascii="Times" w:hAnsi="Times" w:cs="Open Sans"/>
          <w:color w:val="000000" w:themeColor="text1"/>
        </w:rPr>
        <w:t xml:space="preserve">. </w:t>
      </w:r>
      <w:r w:rsidR="003A09A0">
        <w:rPr>
          <w:rFonts w:ascii="Times" w:hAnsi="Times" w:cs="Open Sans"/>
          <w:color w:val="000000" w:themeColor="text1"/>
        </w:rPr>
        <w:t xml:space="preserve">It is submitted that the Court should fix the limits of what is permissible by the application of the following principles. </w:t>
      </w:r>
    </w:p>
    <w:p w14:paraId="01B2BE68" w14:textId="35E4E33C" w:rsidR="003A09A0" w:rsidRPr="00A71595" w:rsidRDefault="003A09A0" w:rsidP="00E3746D">
      <w:pPr>
        <w:pStyle w:val="Heading1"/>
      </w:pPr>
      <w:bookmarkStart w:id="4" w:name="_Toc128532592"/>
      <w:r>
        <w:t>A principle</w:t>
      </w:r>
      <w:r w:rsidR="00FA1732">
        <w:t>d</w:t>
      </w:r>
      <w:r>
        <w:t xml:space="preserve"> approach to </w:t>
      </w:r>
      <w:r w:rsidR="00FA1732">
        <w:t>the protection of fair trial rights</w:t>
      </w:r>
      <w:bookmarkEnd w:id="4"/>
    </w:p>
    <w:p w14:paraId="413F5301" w14:textId="77777777" w:rsidR="003A09A0" w:rsidRPr="00A71595" w:rsidRDefault="003A09A0" w:rsidP="00335BBC">
      <w:pPr>
        <w:spacing w:line="360" w:lineRule="auto"/>
        <w:ind w:firstLine="360"/>
        <w:jc w:val="both"/>
        <w:rPr>
          <w:rFonts w:ascii="Times" w:hAnsi="Times" w:cs="Open Sans"/>
          <w:b/>
          <w:bCs/>
          <w:color w:val="000000" w:themeColor="text1"/>
        </w:rPr>
      </w:pPr>
    </w:p>
    <w:p w14:paraId="0C66908B" w14:textId="0E61FF54" w:rsidR="00187946" w:rsidRPr="002E3A82" w:rsidRDefault="00FA1732" w:rsidP="00335BBC">
      <w:pPr>
        <w:pStyle w:val="ListParagraph"/>
        <w:numPr>
          <w:ilvl w:val="0"/>
          <w:numId w:val="2"/>
        </w:numPr>
        <w:shd w:val="clear" w:color="auto" w:fill="FFFFFF"/>
        <w:spacing w:after="240" w:line="360" w:lineRule="auto"/>
        <w:jc w:val="both"/>
        <w:rPr>
          <w:rFonts w:ascii="Times" w:hAnsi="Times" w:cs="Open Sans"/>
          <w:i/>
          <w:iCs/>
          <w:color w:val="000000" w:themeColor="text1"/>
        </w:rPr>
      </w:pPr>
      <w:r w:rsidRPr="00335BBC">
        <w:rPr>
          <w:rFonts w:ascii="Times" w:hAnsi="Times" w:cs="Open Sans"/>
          <w:color w:val="000000" w:themeColor="text1"/>
        </w:rPr>
        <w:t>First</w:t>
      </w:r>
      <w:r>
        <w:rPr>
          <w:rFonts w:ascii="Times" w:hAnsi="Times" w:cs="Open Sans"/>
          <w:i/>
          <w:iCs/>
          <w:color w:val="000000" w:themeColor="text1"/>
        </w:rPr>
        <w:t xml:space="preserve">, </w:t>
      </w:r>
      <w:r>
        <w:rPr>
          <w:rFonts w:ascii="Times" w:hAnsi="Times" w:cs="Open Sans"/>
          <w:color w:val="000000" w:themeColor="text1"/>
        </w:rPr>
        <w:t>while i</w:t>
      </w:r>
      <w:r w:rsidR="00187946">
        <w:rPr>
          <w:rFonts w:ascii="Times" w:hAnsi="Times" w:cs="Open Sans"/>
          <w:color w:val="000000" w:themeColor="text1"/>
        </w:rPr>
        <w:t>t is acknowledged that</w:t>
      </w:r>
      <w:r w:rsidR="00187946" w:rsidRPr="005E4EF9">
        <w:rPr>
          <w:rFonts w:ascii="Times" w:hAnsi="Times" w:cs="Open Sans"/>
          <w:color w:val="000000" w:themeColor="text1"/>
        </w:rPr>
        <w:t xml:space="preserve"> some rights may be more important than others, constitutional rights do not exist in a fixed hierarchical structure applicable in all contexts.</w:t>
      </w:r>
    </w:p>
    <w:p w14:paraId="55C3ECCD" w14:textId="77777777" w:rsidR="00187946" w:rsidRPr="002E3A82" w:rsidRDefault="00187946" w:rsidP="00335BBC">
      <w:pPr>
        <w:pStyle w:val="ListParagraph"/>
        <w:shd w:val="clear" w:color="auto" w:fill="FFFFFF"/>
        <w:spacing w:after="240" w:line="360" w:lineRule="auto"/>
        <w:ind w:left="360"/>
        <w:jc w:val="both"/>
        <w:rPr>
          <w:rFonts w:ascii="Times" w:hAnsi="Times" w:cs="Open Sans"/>
          <w:i/>
          <w:iCs/>
          <w:color w:val="000000" w:themeColor="text1"/>
        </w:rPr>
      </w:pPr>
    </w:p>
    <w:p w14:paraId="3828123E" w14:textId="7DD7983D" w:rsidR="001D33B5" w:rsidRPr="001D33B5" w:rsidRDefault="00187946" w:rsidP="001D33B5">
      <w:pPr>
        <w:pStyle w:val="ListParagraph"/>
        <w:numPr>
          <w:ilvl w:val="0"/>
          <w:numId w:val="2"/>
        </w:numPr>
        <w:shd w:val="clear" w:color="auto" w:fill="FFFFFF"/>
        <w:spacing w:after="240" w:line="360" w:lineRule="auto"/>
        <w:jc w:val="both"/>
        <w:rPr>
          <w:rFonts w:ascii="Times" w:hAnsi="Times" w:cs="Open Sans"/>
          <w:i/>
          <w:iCs/>
          <w:color w:val="000000" w:themeColor="text1"/>
        </w:rPr>
      </w:pPr>
      <w:r>
        <w:rPr>
          <w:rFonts w:ascii="Times" w:hAnsi="Times" w:cs="Open Sans"/>
          <w:color w:val="000000" w:themeColor="text1"/>
        </w:rPr>
        <w:t xml:space="preserve">In </w:t>
      </w:r>
      <w:r w:rsidRPr="009B2503">
        <w:rPr>
          <w:rFonts w:ascii="Times" w:hAnsi="Times" w:cs="Open Sans"/>
          <w:bCs/>
          <w:i/>
          <w:color w:val="000000" w:themeColor="text1"/>
          <w:lang w:val="en-US"/>
        </w:rPr>
        <w:t>The People (DPP) v Shaw</w:t>
      </w:r>
      <w:r>
        <w:rPr>
          <w:rStyle w:val="FootnoteReference"/>
          <w:rFonts w:ascii="Times" w:hAnsi="Times" w:cs="Open Sans"/>
          <w:bCs/>
          <w:i/>
          <w:color w:val="000000" w:themeColor="text1"/>
          <w:lang w:val="en-US"/>
        </w:rPr>
        <w:footnoteReference w:id="19"/>
      </w:r>
      <w:r>
        <w:rPr>
          <w:rFonts w:ascii="Times" w:hAnsi="Times" w:cs="Open Sans"/>
          <w:bCs/>
          <w:color w:val="000000" w:themeColor="text1"/>
          <w:lang w:val="en-US"/>
        </w:rPr>
        <w:t>, Griffin J said</w:t>
      </w:r>
      <w:r w:rsidR="001D33B5">
        <w:rPr>
          <w:rFonts w:ascii="Times" w:hAnsi="Times" w:cs="Open Sans"/>
          <w:bCs/>
          <w:color w:val="000000" w:themeColor="text1"/>
          <w:lang w:val="en-US"/>
        </w:rPr>
        <w:t>:</w:t>
      </w:r>
    </w:p>
    <w:p w14:paraId="1EED7716" w14:textId="77777777" w:rsidR="001D33B5" w:rsidRPr="001D33B5" w:rsidRDefault="001D33B5" w:rsidP="001D33B5">
      <w:pPr>
        <w:pStyle w:val="ListParagraph"/>
        <w:rPr>
          <w:rFonts w:ascii="Times" w:hAnsi="Times" w:cs="Open Sans"/>
          <w:i/>
          <w:iCs/>
          <w:color w:val="000000" w:themeColor="text1"/>
        </w:rPr>
      </w:pPr>
    </w:p>
    <w:p w14:paraId="52F86953" w14:textId="77777777" w:rsidR="001D33B5" w:rsidRPr="001D33B5" w:rsidRDefault="001D33B5" w:rsidP="001D33B5">
      <w:pPr>
        <w:pStyle w:val="NoSpacing"/>
      </w:pPr>
    </w:p>
    <w:p w14:paraId="46D513D5" w14:textId="77777777" w:rsidR="00187946" w:rsidRDefault="00187946" w:rsidP="00335BBC">
      <w:pPr>
        <w:pStyle w:val="ListParagraph"/>
        <w:shd w:val="clear" w:color="auto" w:fill="FFFFFF"/>
        <w:spacing w:after="240" w:line="360" w:lineRule="auto"/>
        <w:jc w:val="both"/>
        <w:rPr>
          <w:rFonts w:ascii="Times" w:hAnsi="Times" w:cs="Open Sans"/>
          <w:bCs/>
          <w:i/>
          <w:color w:val="000000" w:themeColor="text1"/>
          <w:lang w:val="en-US"/>
        </w:rPr>
      </w:pPr>
      <w:r>
        <w:rPr>
          <w:rFonts w:ascii="Times" w:hAnsi="Times" w:cs="Open Sans"/>
          <w:bCs/>
          <w:i/>
          <w:color w:val="000000" w:themeColor="text1"/>
          <w:lang w:val="en-US"/>
        </w:rPr>
        <w:t>“</w:t>
      </w:r>
      <w:r w:rsidRPr="009B2503">
        <w:rPr>
          <w:rFonts w:ascii="Times" w:hAnsi="Times" w:cs="Open Sans"/>
          <w:bCs/>
          <w:i/>
          <w:color w:val="000000" w:themeColor="text1"/>
          <w:lang w:val="en-US"/>
        </w:rPr>
        <w:t>If possible; fundamental rights under a Constitution should be given a mutually harmonious application, but when that is not possible, the hierarchy or priority of conflicting rights must be examined both as between themselves and in relation to the general welfare of society. This may involve the toning down or even the putting into temporary abeyance of a particular guaranteed right so that, in a fair and objective way, the more pertinent and important right in a given set of circumstances may be preferred and given application.”</w:t>
      </w:r>
    </w:p>
    <w:p w14:paraId="7766B090" w14:textId="77777777" w:rsidR="00187946" w:rsidRPr="002E3A82" w:rsidRDefault="00187946" w:rsidP="00335BBC">
      <w:pPr>
        <w:pStyle w:val="ListParagraph"/>
        <w:shd w:val="clear" w:color="auto" w:fill="FFFFFF"/>
        <w:spacing w:after="240" w:line="360" w:lineRule="auto"/>
        <w:jc w:val="both"/>
        <w:rPr>
          <w:rFonts w:ascii="Times" w:hAnsi="Times" w:cs="Open Sans"/>
          <w:i/>
          <w:iCs/>
          <w:color w:val="000000" w:themeColor="text1"/>
        </w:rPr>
      </w:pPr>
    </w:p>
    <w:p w14:paraId="7FF4F4B6" w14:textId="735CF302" w:rsidR="005829D5" w:rsidRPr="00335BBC" w:rsidRDefault="005829D5" w:rsidP="00335BBC">
      <w:pPr>
        <w:pStyle w:val="ListParagraph"/>
        <w:numPr>
          <w:ilvl w:val="0"/>
          <w:numId w:val="2"/>
        </w:numPr>
        <w:spacing w:line="360" w:lineRule="auto"/>
        <w:jc w:val="both"/>
        <w:rPr>
          <w:color w:val="000000" w:themeColor="text1"/>
        </w:rPr>
      </w:pPr>
      <w:r w:rsidRPr="009C22D3">
        <w:rPr>
          <w:rFonts w:ascii="Times" w:hAnsi="Times" w:cs="Open Sans"/>
          <w:color w:val="000000" w:themeColor="text1"/>
        </w:rPr>
        <w:t>What is required</w:t>
      </w:r>
      <w:r>
        <w:rPr>
          <w:rFonts w:ascii="Times" w:hAnsi="Times" w:cs="Open Sans"/>
          <w:color w:val="000000" w:themeColor="text1"/>
        </w:rPr>
        <w:t>, therefore,</w:t>
      </w:r>
      <w:r w:rsidRPr="009C22D3">
        <w:rPr>
          <w:rFonts w:ascii="Times" w:hAnsi="Times" w:cs="Open Sans"/>
          <w:color w:val="000000" w:themeColor="text1"/>
        </w:rPr>
        <w:t xml:space="preserve"> is a harmonious balancing of rights</w:t>
      </w:r>
      <w:r>
        <w:rPr>
          <w:rFonts w:ascii="Times" w:hAnsi="Times" w:cs="Open Sans"/>
          <w:color w:val="000000" w:themeColor="text1"/>
        </w:rPr>
        <w:t>.</w:t>
      </w:r>
    </w:p>
    <w:p w14:paraId="4FE38E89" w14:textId="77777777" w:rsidR="005829D5" w:rsidRPr="00131040" w:rsidRDefault="005829D5" w:rsidP="00335BBC">
      <w:pPr>
        <w:pStyle w:val="ListParagraph"/>
        <w:spacing w:line="360" w:lineRule="auto"/>
        <w:ind w:left="360"/>
        <w:jc w:val="both"/>
        <w:rPr>
          <w:color w:val="000000" w:themeColor="text1"/>
        </w:rPr>
      </w:pPr>
    </w:p>
    <w:p w14:paraId="70D02B46" w14:textId="77777777" w:rsidR="005829D5" w:rsidRPr="00B80AD9" w:rsidRDefault="005829D5" w:rsidP="00335BBC">
      <w:pPr>
        <w:pStyle w:val="ListParagraph"/>
        <w:numPr>
          <w:ilvl w:val="0"/>
          <w:numId w:val="2"/>
        </w:numPr>
        <w:spacing w:line="360" w:lineRule="auto"/>
        <w:jc w:val="both"/>
        <w:rPr>
          <w:color w:val="000000" w:themeColor="text1"/>
        </w:rPr>
      </w:pPr>
      <w:r>
        <w:rPr>
          <w:rFonts w:ascii="Times" w:hAnsi="Times" w:cs="Open Sans"/>
          <w:color w:val="000000" w:themeColor="text1"/>
        </w:rPr>
        <w:t>Secondly</w:t>
      </w:r>
      <w:r w:rsidRPr="009C22D3">
        <w:rPr>
          <w:rFonts w:ascii="Times" w:hAnsi="Times" w:cs="Open Sans"/>
          <w:color w:val="000000" w:themeColor="text1"/>
        </w:rPr>
        <w:t>,</w:t>
      </w:r>
      <w:r>
        <w:rPr>
          <w:rFonts w:ascii="Times" w:hAnsi="Times" w:cs="Open Sans"/>
          <w:color w:val="000000" w:themeColor="text1"/>
        </w:rPr>
        <w:t xml:space="preserve"> the exercise of achieving balance between competing rights must pay</w:t>
      </w:r>
      <w:r w:rsidRPr="009C22D3">
        <w:rPr>
          <w:rFonts w:ascii="Times" w:hAnsi="Times" w:cs="Open Sans"/>
          <w:color w:val="000000" w:themeColor="text1"/>
        </w:rPr>
        <w:t xml:space="preserve"> due regard to the particular context in which the balancing exercise occurs. </w:t>
      </w:r>
      <w:r>
        <w:rPr>
          <w:rFonts w:ascii="Times" w:hAnsi="Times" w:cs="Open Sans"/>
          <w:color w:val="000000" w:themeColor="text1"/>
        </w:rPr>
        <w:t>There may be situations in which a stark conflict is presented by a dispute between two parties grounded on competing claims to engage in activities or pursue objectives in purported exercise of different constitutional rights. Such a dispute may be capable of being resolved simply by weighing the relative importance of the rights at stake.  Thus the right to freedom of speech will yield to the right to life, where the latter might be imperilled by extreme forms of political speech. The right to property cannot be exercised in a manner injurious to the bodily integrity of those living in neighbouring properties.</w:t>
      </w:r>
    </w:p>
    <w:p w14:paraId="7D1918A8" w14:textId="77777777" w:rsidR="005829D5" w:rsidRPr="00B80AD9" w:rsidRDefault="005829D5" w:rsidP="00335BBC">
      <w:pPr>
        <w:pStyle w:val="ListParagraph"/>
        <w:spacing w:line="360" w:lineRule="auto"/>
        <w:rPr>
          <w:color w:val="000000" w:themeColor="text1"/>
        </w:rPr>
      </w:pPr>
    </w:p>
    <w:p w14:paraId="39908185" w14:textId="74C3430E" w:rsidR="00187946" w:rsidRPr="005E4EF9" w:rsidRDefault="005829D5" w:rsidP="00335BBC">
      <w:pPr>
        <w:pStyle w:val="ListParagraph"/>
        <w:numPr>
          <w:ilvl w:val="0"/>
          <w:numId w:val="2"/>
        </w:numPr>
        <w:shd w:val="clear" w:color="auto" w:fill="FFFFFF"/>
        <w:spacing w:after="240" w:line="360" w:lineRule="auto"/>
        <w:jc w:val="both"/>
        <w:rPr>
          <w:rFonts w:ascii="Times" w:hAnsi="Times" w:cs="Open Sans"/>
          <w:i/>
          <w:iCs/>
          <w:color w:val="000000" w:themeColor="text1"/>
        </w:rPr>
      </w:pPr>
      <w:r>
        <w:rPr>
          <w:rFonts w:ascii="Times" w:hAnsi="Times" w:cs="Open Sans"/>
          <w:color w:val="000000" w:themeColor="text1"/>
        </w:rPr>
        <w:t>Thus</w:t>
      </w:r>
      <w:r w:rsidR="00187946">
        <w:rPr>
          <w:rFonts w:ascii="Times" w:hAnsi="Times" w:cs="Open Sans"/>
          <w:color w:val="000000" w:themeColor="text1"/>
        </w:rPr>
        <w:t xml:space="preserve">, </w:t>
      </w:r>
      <w:r w:rsidR="00187946" w:rsidRPr="005E4EF9">
        <w:rPr>
          <w:rFonts w:ascii="Times" w:hAnsi="Times" w:cs="Open Sans"/>
          <w:color w:val="000000" w:themeColor="text1"/>
        </w:rPr>
        <w:t xml:space="preserve">O’Donnell J, as he then was, said in the case of </w:t>
      </w:r>
      <w:r w:rsidR="001D33B5" w:rsidRPr="001D33B5">
        <w:rPr>
          <w:rFonts w:ascii="Times" w:hAnsi="Times" w:cs="Open Sans"/>
          <w:i/>
          <w:iCs/>
          <w:color w:val="000000" w:themeColor="text1"/>
        </w:rPr>
        <w:t>Sunday Newspapers v</w:t>
      </w:r>
      <w:r w:rsidR="001D33B5">
        <w:rPr>
          <w:rFonts w:ascii="Times" w:hAnsi="Times" w:cs="Open Sans"/>
          <w:color w:val="000000" w:themeColor="text1"/>
        </w:rPr>
        <w:t xml:space="preserve"> </w:t>
      </w:r>
      <w:r w:rsidR="00187946" w:rsidRPr="005E4EF9">
        <w:rPr>
          <w:rFonts w:ascii="Times" w:hAnsi="Times" w:cs="Open Sans"/>
          <w:i/>
          <w:iCs/>
          <w:color w:val="000000" w:themeColor="text1"/>
        </w:rPr>
        <w:t>Gilchrist</w:t>
      </w:r>
      <w:r w:rsidR="001D33B5">
        <w:rPr>
          <w:rStyle w:val="FootnoteReference"/>
          <w:rFonts w:ascii="Times" w:hAnsi="Times" w:cs="Open Sans"/>
          <w:i/>
          <w:iCs/>
          <w:color w:val="000000" w:themeColor="text1"/>
        </w:rPr>
        <w:footnoteReference w:id="20"/>
      </w:r>
      <w:r w:rsidR="001D33B5">
        <w:rPr>
          <w:rFonts w:ascii="Times" w:hAnsi="Times" w:cs="Open Sans"/>
          <w:i/>
          <w:iCs/>
          <w:color w:val="000000" w:themeColor="text1"/>
        </w:rPr>
        <w:t xml:space="preserve"> </w:t>
      </w:r>
      <w:r w:rsidR="00187946" w:rsidRPr="005E4EF9">
        <w:rPr>
          <w:rFonts w:ascii="Times" w:hAnsi="Times" w:cs="Open Sans"/>
          <w:color w:val="000000" w:themeColor="text1"/>
        </w:rPr>
        <w:t xml:space="preserve"> that: </w:t>
      </w:r>
    </w:p>
    <w:p w14:paraId="77C592DF" w14:textId="77777777" w:rsidR="00187946" w:rsidRPr="00A71595" w:rsidRDefault="00187946" w:rsidP="00335BBC">
      <w:pPr>
        <w:pStyle w:val="ListParagraph"/>
        <w:shd w:val="clear" w:color="auto" w:fill="FFFFFF"/>
        <w:spacing w:line="360" w:lineRule="auto"/>
        <w:ind w:left="360"/>
        <w:jc w:val="both"/>
        <w:rPr>
          <w:rFonts w:ascii="Times" w:hAnsi="Times" w:cs="Open Sans"/>
          <w:color w:val="000000" w:themeColor="text1"/>
        </w:rPr>
      </w:pPr>
    </w:p>
    <w:p w14:paraId="71A060C2" w14:textId="77777777" w:rsidR="00187946" w:rsidRPr="00A71595" w:rsidRDefault="00187946" w:rsidP="00335BBC">
      <w:pPr>
        <w:pStyle w:val="ListParagraph"/>
        <w:shd w:val="clear" w:color="auto" w:fill="FFFFFF"/>
        <w:spacing w:line="360" w:lineRule="auto"/>
        <w:jc w:val="both"/>
        <w:rPr>
          <w:rFonts w:ascii="Times" w:hAnsi="Times" w:cs="Open Sans"/>
          <w:i/>
          <w:iCs/>
          <w:color w:val="000000" w:themeColor="text1"/>
        </w:rPr>
      </w:pPr>
      <w:r w:rsidRPr="00A71595">
        <w:rPr>
          <w:rFonts w:ascii="Times" w:hAnsi="Times" w:cs="Open Sans"/>
          <w:i/>
          <w:iCs/>
          <w:color w:val="000000" w:themeColor="text1"/>
          <w:shd w:val="clear" w:color="auto" w:fill="FFFFFF"/>
        </w:rPr>
        <w:t>‘… rights are best considered in context, with an appreciation not of some sense of the abstract importance of the right, but by reference to a particular restriction with particular effects that is imposed for a particular reason.  That is not to deny that some rights might be generally more important than others; this is of course true, and this should be stated by courts where appropriate. It is instead to say that this importance is useful only insofar as it helps a court resolve a particular clash of rights </w:t>
      </w:r>
      <w:r w:rsidRPr="00A71595">
        <w:rPr>
          <w:rStyle w:val="Emphasis"/>
          <w:rFonts w:ascii="Times" w:hAnsi="Times" w:cs="Open Sans"/>
          <w:color w:val="000000" w:themeColor="text1"/>
          <w:shd w:val="clear" w:color="auto" w:fill="FFFFFF"/>
        </w:rPr>
        <w:t>in context</w:t>
      </w:r>
      <w:r w:rsidRPr="00A71595">
        <w:rPr>
          <w:rFonts w:ascii="Times" w:hAnsi="Times" w:cs="Open Sans"/>
          <w:i/>
          <w:iCs/>
          <w:color w:val="000000" w:themeColor="text1"/>
          <w:shd w:val="clear" w:color="auto" w:fill="FFFFFF"/>
        </w:rPr>
        <w:t> by helping to weigh a right when it conflicts with another.’</w:t>
      </w:r>
    </w:p>
    <w:p w14:paraId="30ACD41C" w14:textId="77777777" w:rsidR="00187946" w:rsidRPr="00A71595" w:rsidRDefault="00187946" w:rsidP="00335BBC">
      <w:pPr>
        <w:shd w:val="clear" w:color="auto" w:fill="FFFFFF"/>
        <w:spacing w:line="360" w:lineRule="auto"/>
        <w:jc w:val="both"/>
        <w:rPr>
          <w:rFonts w:ascii="Times" w:hAnsi="Times" w:cs="Open Sans"/>
          <w:color w:val="000000" w:themeColor="text1"/>
        </w:rPr>
      </w:pPr>
    </w:p>
    <w:p w14:paraId="3A8AA1C7" w14:textId="1930D073" w:rsidR="005829D5" w:rsidRPr="00335BBC" w:rsidRDefault="005829D5" w:rsidP="00335BBC">
      <w:pPr>
        <w:pStyle w:val="ListParagraph"/>
        <w:numPr>
          <w:ilvl w:val="0"/>
          <w:numId w:val="2"/>
        </w:numPr>
        <w:spacing w:line="360" w:lineRule="auto"/>
        <w:jc w:val="both"/>
        <w:rPr>
          <w:color w:val="000000" w:themeColor="text1"/>
        </w:rPr>
      </w:pPr>
      <w:r>
        <w:rPr>
          <w:color w:val="000000" w:themeColor="text1"/>
        </w:rPr>
        <w:t>The context of the exercise of the right to a fair trial is objectively different, indeed is of a different order, to the stark but straightforward clashes illustrated above.  Rather than simply weighing competing rights, the Court is presented with a more complex question. When one citizen complains that their personal rights have been invaded by the actions of another,</w:t>
      </w:r>
      <w:r w:rsidRPr="005829D5">
        <w:rPr>
          <w:color w:val="000000" w:themeColor="text1"/>
        </w:rPr>
        <w:t xml:space="preserve"> </w:t>
      </w:r>
      <w:r>
        <w:rPr>
          <w:color w:val="000000" w:themeColor="text1"/>
        </w:rPr>
        <w:t>what minimum protections are required to ensure that the complaint is determined fairly and constitutionally? In particular, where the complaint is of criminal wrongdoing</w:t>
      </w:r>
      <w:r w:rsidR="00EE3D5F">
        <w:rPr>
          <w:color w:val="000000" w:themeColor="text1"/>
        </w:rPr>
        <w:t>, to what extent can the State, as guarantor of the rights of the complainant, be relieved of the ordinary and long-established burden of proving to the required standard every element of the allegation made against the accused?</w:t>
      </w:r>
    </w:p>
    <w:p w14:paraId="7EC64D8B" w14:textId="77777777" w:rsidR="00FA1732" w:rsidRPr="00335BBC" w:rsidRDefault="00FA1732" w:rsidP="00335BBC">
      <w:pPr>
        <w:spacing w:line="360" w:lineRule="auto"/>
        <w:jc w:val="both"/>
        <w:rPr>
          <w:color w:val="000000" w:themeColor="text1"/>
        </w:rPr>
      </w:pPr>
    </w:p>
    <w:p w14:paraId="356B7956" w14:textId="751BC1F5" w:rsidR="009B2503" w:rsidRDefault="00EE3D5F"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Thirdly, it is submitted that clear guidance as to the importance of protecting the right to a fair trial exists in the way in which that right is expressed and protected in the Constitution itself. A</w:t>
      </w:r>
      <w:r w:rsidR="009B2503">
        <w:rPr>
          <w:rFonts w:ascii="Times" w:hAnsi="Times" w:cs="Open Sans"/>
          <w:color w:val="000000" w:themeColor="text1"/>
        </w:rPr>
        <w:t xml:space="preserve">lthough the Article 38.1 right to a trial in due course of law is both reflective of and instrumental in protecting </w:t>
      </w:r>
      <w:r w:rsidR="006C238D">
        <w:rPr>
          <w:rFonts w:ascii="Times" w:hAnsi="Times" w:cs="Open Sans"/>
          <w:color w:val="000000" w:themeColor="text1"/>
        </w:rPr>
        <w:t>the</w:t>
      </w:r>
      <w:r w:rsidR="009B2503">
        <w:rPr>
          <w:rFonts w:ascii="Times" w:hAnsi="Times" w:cs="Open Sans"/>
          <w:color w:val="000000" w:themeColor="text1"/>
        </w:rPr>
        <w:t xml:space="preserve"> personal rights provided for by Article 40.3 of the Constitution</w:t>
      </w:r>
      <w:r w:rsidR="000E26EE">
        <w:rPr>
          <w:rFonts w:ascii="Times" w:hAnsi="Times" w:cs="Open Sans"/>
          <w:color w:val="000000" w:themeColor="text1"/>
        </w:rPr>
        <w:t>,</w:t>
      </w:r>
      <w:r w:rsidR="009B2503">
        <w:rPr>
          <w:rFonts w:ascii="Times" w:hAnsi="Times" w:cs="Open Sans"/>
          <w:color w:val="000000" w:themeColor="text1"/>
        </w:rPr>
        <w:t xml:space="preserve"> </w:t>
      </w:r>
      <w:r w:rsidR="000E26EE">
        <w:rPr>
          <w:rFonts w:ascii="Times" w:hAnsi="Times" w:cs="Open Sans"/>
          <w:color w:val="000000" w:themeColor="text1"/>
        </w:rPr>
        <w:t>i</w:t>
      </w:r>
      <w:r w:rsidR="009B2503">
        <w:rPr>
          <w:rFonts w:ascii="Times" w:hAnsi="Times" w:cs="Open Sans"/>
          <w:color w:val="000000" w:themeColor="text1"/>
        </w:rPr>
        <w:t>t is itself not merely a specifically enumerated right, but one expressed in absolute terms. The words “</w:t>
      </w:r>
      <w:r w:rsidR="009B2503" w:rsidRPr="00E8665F">
        <w:rPr>
          <w:rFonts w:ascii="Times" w:hAnsi="Times" w:cs="Open Sans"/>
          <w:i/>
          <w:iCs/>
          <w:color w:val="000000" w:themeColor="text1"/>
        </w:rPr>
        <w:t>No person shall be tried</w:t>
      </w:r>
      <w:r w:rsidR="009B2503">
        <w:rPr>
          <w:rFonts w:ascii="Times" w:hAnsi="Times" w:cs="Open Sans"/>
          <w:color w:val="000000" w:themeColor="text1"/>
        </w:rPr>
        <w:t xml:space="preserve"> …” admit of no exceptions.</w:t>
      </w:r>
      <w:r w:rsidR="00CE0EA1">
        <w:rPr>
          <w:rFonts w:ascii="Times" w:hAnsi="Times" w:cs="Open Sans"/>
          <w:color w:val="000000" w:themeColor="text1"/>
        </w:rPr>
        <w:t xml:space="preserve"> Article 38.1 in effect sets a minimum standard.</w:t>
      </w:r>
    </w:p>
    <w:p w14:paraId="771AAC02" w14:textId="77777777" w:rsidR="009B2503" w:rsidRPr="00E8665F" w:rsidRDefault="009B2503" w:rsidP="00335BBC">
      <w:pPr>
        <w:pStyle w:val="ListParagraph"/>
        <w:spacing w:line="360" w:lineRule="auto"/>
        <w:rPr>
          <w:rFonts w:ascii="Times" w:hAnsi="Times" w:cs="Open Sans"/>
          <w:color w:val="000000" w:themeColor="text1"/>
        </w:rPr>
      </w:pPr>
    </w:p>
    <w:p w14:paraId="5545CBC6" w14:textId="77777777" w:rsidR="009B2503" w:rsidRDefault="009B2503"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 xml:space="preserve">This view of Article 38.1 underlies the dicta of Denham J. in </w:t>
      </w:r>
      <w:r>
        <w:rPr>
          <w:rFonts w:ascii="Times" w:hAnsi="Times" w:cs="Open Sans"/>
          <w:i/>
          <w:iCs/>
          <w:color w:val="000000" w:themeColor="text1"/>
        </w:rPr>
        <w:t>D v. DPP</w:t>
      </w:r>
      <w:r>
        <w:rPr>
          <w:rStyle w:val="FootnoteReference"/>
          <w:rFonts w:ascii="Times" w:hAnsi="Times" w:cs="Open Sans"/>
          <w:i/>
          <w:iCs/>
          <w:color w:val="000000" w:themeColor="text1"/>
        </w:rPr>
        <w:footnoteReference w:id="21"/>
      </w:r>
      <w:r>
        <w:rPr>
          <w:rFonts w:ascii="Times" w:hAnsi="Times" w:cs="Open Sans"/>
          <w:color w:val="000000" w:themeColor="text1"/>
        </w:rPr>
        <w:t xml:space="preserve"> that </w:t>
      </w:r>
    </w:p>
    <w:p w14:paraId="71A75F4A" w14:textId="77777777" w:rsidR="009B2503" w:rsidRPr="00E8665F" w:rsidRDefault="009B2503" w:rsidP="00335BBC">
      <w:pPr>
        <w:pStyle w:val="ListParagraph"/>
        <w:spacing w:line="360" w:lineRule="auto"/>
        <w:rPr>
          <w:rFonts w:ascii="Times" w:hAnsi="Times" w:cs="Open Sans"/>
          <w:color w:val="000000" w:themeColor="text1"/>
        </w:rPr>
      </w:pPr>
    </w:p>
    <w:p w14:paraId="3CFF9D75" w14:textId="77777777" w:rsidR="009B2503" w:rsidRPr="00E8665F" w:rsidRDefault="009B2503" w:rsidP="00335BBC">
      <w:pPr>
        <w:shd w:val="clear" w:color="auto" w:fill="FFFFFF"/>
        <w:spacing w:after="240" w:line="360" w:lineRule="auto"/>
        <w:ind w:left="720"/>
        <w:jc w:val="both"/>
        <w:rPr>
          <w:rFonts w:ascii="Times" w:hAnsi="Times" w:cs="Open Sans"/>
          <w:i/>
          <w:iCs/>
          <w:color w:val="000000" w:themeColor="text1"/>
        </w:rPr>
      </w:pPr>
      <w:r w:rsidRPr="00E8665F">
        <w:rPr>
          <w:rFonts w:ascii="Times" w:hAnsi="Times" w:cs="Open Sans"/>
          <w:i/>
          <w:iCs/>
          <w:color w:val="000000" w:themeColor="text1"/>
        </w:rPr>
        <w:t>“The applicant's right to a fair trial is one of the most fundamental constitutional rights afforded to persons. On a hierarchy of constitutional rights it is a superior right.</w:t>
      </w:r>
    </w:p>
    <w:p w14:paraId="354869D8" w14:textId="77777777" w:rsidR="009B2503" w:rsidRPr="00E8665F" w:rsidRDefault="009B2503" w:rsidP="00335BBC">
      <w:pPr>
        <w:shd w:val="clear" w:color="auto" w:fill="FFFFFF"/>
        <w:spacing w:after="240" w:line="360" w:lineRule="auto"/>
        <w:ind w:left="720"/>
        <w:jc w:val="both"/>
        <w:rPr>
          <w:rFonts w:ascii="Times" w:hAnsi="Times" w:cs="Open Sans"/>
          <w:i/>
          <w:iCs/>
          <w:color w:val="000000" w:themeColor="text1"/>
        </w:rPr>
      </w:pPr>
      <w:r w:rsidRPr="00E8665F">
        <w:rPr>
          <w:rFonts w:ascii="Times" w:hAnsi="Times" w:cs="Open Sans"/>
          <w:i/>
          <w:iCs/>
          <w:color w:val="000000" w:themeColor="text1"/>
        </w:rPr>
        <w:lastRenderedPageBreak/>
        <w:t>A court must give some consideration to the community's right to have this alleged crime prosecuted in the usual way. However, on the hierarchy of constitutional rights there is no doubt that the applicant's right to fair procedures is superior to the community's right to prosecute.”</w:t>
      </w:r>
    </w:p>
    <w:p w14:paraId="3611633A" w14:textId="398C6629" w:rsidR="009B2503" w:rsidRDefault="00C207C6"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 xml:space="preserve">In the same case, </w:t>
      </w:r>
      <w:r w:rsidR="009B2503">
        <w:rPr>
          <w:rFonts w:ascii="Times" w:hAnsi="Times" w:cs="Open Sans"/>
          <w:color w:val="000000" w:themeColor="text1"/>
        </w:rPr>
        <w:t>Finlay CJ, albeit without expressly describing the right as “</w:t>
      </w:r>
      <w:r w:rsidR="009B2503" w:rsidRPr="00BB5A20">
        <w:rPr>
          <w:rFonts w:ascii="Times" w:hAnsi="Times" w:cs="Open Sans"/>
          <w:color w:val="000000" w:themeColor="text1"/>
        </w:rPr>
        <w:t>superior</w:t>
      </w:r>
      <w:r w:rsidR="009B2503">
        <w:rPr>
          <w:rFonts w:ascii="Times" w:hAnsi="Times" w:cs="Open Sans"/>
          <w:color w:val="000000" w:themeColor="text1"/>
        </w:rPr>
        <w:t>”, said that “</w:t>
      </w:r>
      <w:r w:rsidR="009B2503" w:rsidRPr="00E8665F">
        <w:rPr>
          <w:rFonts w:ascii="Times" w:hAnsi="Times" w:cs="Open Sans"/>
          <w:i/>
          <w:iCs/>
          <w:color w:val="000000" w:themeColor="text1"/>
        </w:rPr>
        <w:t>the right of an individual to a fair trial is of fundamental constitutional importance</w:t>
      </w:r>
      <w:r w:rsidR="009B2503">
        <w:rPr>
          <w:rFonts w:ascii="Times" w:hAnsi="Times" w:cs="Open Sans"/>
          <w:color w:val="000000" w:themeColor="text1"/>
        </w:rPr>
        <w:t>”.</w:t>
      </w:r>
      <w:r w:rsidR="009B2503">
        <w:rPr>
          <w:rStyle w:val="FootnoteReference"/>
          <w:rFonts w:ascii="Times" w:hAnsi="Times" w:cs="Open Sans"/>
          <w:color w:val="000000" w:themeColor="text1"/>
        </w:rPr>
        <w:footnoteReference w:id="22"/>
      </w:r>
    </w:p>
    <w:p w14:paraId="5A37F8A7" w14:textId="77777777" w:rsidR="00EE3D5F" w:rsidRDefault="00EE3D5F" w:rsidP="00335BBC">
      <w:pPr>
        <w:pStyle w:val="ListParagraph"/>
        <w:shd w:val="clear" w:color="auto" w:fill="FFFFFF"/>
        <w:spacing w:after="240" w:line="360" w:lineRule="auto"/>
        <w:ind w:left="360"/>
        <w:jc w:val="both"/>
        <w:rPr>
          <w:rFonts w:ascii="Times" w:hAnsi="Times" w:cs="Open Sans"/>
          <w:color w:val="000000" w:themeColor="text1"/>
        </w:rPr>
      </w:pPr>
    </w:p>
    <w:p w14:paraId="7291D351" w14:textId="0BF58C98" w:rsidR="00EE3D5F" w:rsidRDefault="00FC0B85"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 xml:space="preserve">The Commission respectfully submits that the use of the word “superior” in this context is </w:t>
      </w:r>
      <w:r w:rsidR="0062063F">
        <w:rPr>
          <w:rFonts w:ascii="Times" w:hAnsi="Times" w:cs="Open Sans"/>
          <w:color w:val="000000" w:themeColor="text1"/>
        </w:rPr>
        <w:t>capable of being misunderstood</w:t>
      </w:r>
      <w:r>
        <w:rPr>
          <w:rFonts w:ascii="Times" w:hAnsi="Times" w:cs="Open Sans"/>
          <w:color w:val="000000" w:themeColor="text1"/>
        </w:rPr>
        <w:t>. For the reasons stated above, the particular context in which fair trial rights arise is such as not to present a stark and readily resolved conflict with the rights of another citizen, such that one of those rights must be held to be superior to the other. Instead, the Article 38 right should properly be seen as a restraint on the exercise of the power of the State to condemn and punish one citizen for a wrong allegedly done to another.</w:t>
      </w:r>
    </w:p>
    <w:p w14:paraId="598A70A4" w14:textId="77777777" w:rsidR="0062063F" w:rsidRPr="00335BBC" w:rsidRDefault="0062063F" w:rsidP="00335BBC">
      <w:pPr>
        <w:pStyle w:val="ListParagraph"/>
        <w:spacing w:line="360" w:lineRule="auto"/>
        <w:rPr>
          <w:rFonts w:ascii="Times" w:hAnsi="Times" w:cs="Open Sans"/>
          <w:color w:val="000000" w:themeColor="text1"/>
        </w:rPr>
      </w:pPr>
    </w:p>
    <w:p w14:paraId="661F4AEE" w14:textId="543E43EE" w:rsidR="0062063F" w:rsidRDefault="0062063F"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This is clearly what Denham J meant.  She did not, after all, say that the right to a fair trial is superior to other personal rights of the citizen. Instead she said that it was superior to the community’s right to prosecute.</w:t>
      </w:r>
    </w:p>
    <w:p w14:paraId="26C88939" w14:textId="77777777" w:rsidR="00FC0B85" w:rsidRPr="00335BBC" w:rsidRDefault="00FC0B85" w:rsidP="00335BBC">
      <w:pPr>
        <w:pStyle w:val="ListParagraph"/>
        <w:spacing w:line="360" w:lineRule="auto"/>
        <w:rPr>
          <w:rFonts w:ascii="Times" w:hAnsi="Times" w:cs="Open Sans"/>
          <w:color w:val="000000" w:themeColor="text1"/>
        </w:rPr>
      </w:pPr>
    </w:p>
    <w:p w14:paraId="7AE46375" w14:textId="4BB4B994" w:rsidR="00FC0B85" w:rsidRPr="00335BBC" w:rsidRDefault="00FC0B85" w:rsidP="00E3746D">
      <w:pPr>
        <w:pStyle w:val="Heading1"/>
      </w:pPr>
      <w:bookmarkStart w:id="5" w:name="_Toc128532593"/>
      <w:r w:rsidRPr="00335BBC">
        <w:t>Application of these principles</w:t>
      </w:r>
      <w:bookmarkEnd w:id="5"/>
    </w:p>
    <w:p w14:paraId="54188727" w14:textId="77777777" w:rsidR="009B2503" w:rsidRPr="00B71914" w:rsidRDefault="009B2503" w:rsidP="00335BBC">
      <w:pPr>
        <w:pStyle w:val="ListParagraph"/>
        <w:shd w:val="clear" w:color="auto" w:fill="FFFFFF"/>
        <w:spacing w:after="240" w:line="360" w:lineRule="auto"/>
        <w:ind w:left="360"/>
        <w:jc w:val="both"/>
        <w:rPr>
          <w:rFonts w:ascii="Times" w:hAnsi="Times" w:cs="Open Sans"/>
          <w:color w:val="000000" w:themeColor="text1"/>
        </w:rPr>
      </w:pPr>
    </w:p>
    <w:p w14:paraId="25E096E6" w14:textId="48DFBAA1" w:rsidR="000A6B95" w:rsidRPr="00335BBC" w:rsidRDefault="005E4EF9" w:rsidP="00335BBC">
      <w:pPr>
        <w:pStyle w:val="ListParagraph"/>
        <w:numPr>
          <w:ilvl w:val="0"/>
          <w:numId w:val="2"/>
        </w:numPr>
        <w:spacing w:line="360" w:lineRule="auto"/>
        <w:jc w:val="both"/>
        <w:rPr>
          <w:rFonts w:cs="Open Sans"/>
          <w:color w:val="000000" w:themeColor="text1"/>
        </w:rPr>
      </w:pPr>
      <w:r w:rsidRPr="00335BBC">
        <w:rPr>
          <w:rFonts w:ascii="Times" w:hAnsi="Times" w:cs="Arial"/>
          <w:color w:val="000000"/>
          <w:shd w:val="clear" w:color="auto" w:fill="FFFFFF"/>
        </w:rPr>
        <w:t xml:space="preserve">The Appellants </w:t>
      </w:r>
      <w:r w:rsidR="005512AF" w:rsidRPr="00335BBC">
        <w:rPr>
          <w:rFonts w:ascii="Times" w:hAnsi="Times" w:cs="Arial"/>
          <w:color w:val="000000"/>
          <w:shd w:val="clear" w:color="auto" w:fill="FFFFFF"/>
        </w:rPr>
        <w:t>submit that</w:t>
      </w:r>
      <w:r w:rsidR="000145F1" w:rsidRPr="00335BBC">
        <w:rPr>
          <w:rFonts w:ascii="Times" w:hAnsi="Times" w:cs="Arial"/>
          <w:color w:val="000000"/>
          <w:shd w:val="clear" w:color="auto" w:fill="FFFFFF"/>
        </w:rPr>
        <w:t xml:space="preserve"> the rights of children are engaged </w:t>
      </w:r>
      <w:r w:rsidR="006D1269" w:rsidRPr="00335BBC">
        <w:rPr>
          <w:rFonts w:ascii="Times" w:hAnsi="Times" w:cs="Arial"/>
          <w:color w:val="000000"/>
          <w:shd w:val="clear" w:color="auto" w:fill="FFFFFF"/>
        </w:rPr>
        <w:t>in respect of</w:t>
      </w:r>
      <w:r w:rsidR="006D1269" w:rsidRPr="00335BBC">
        <w:rPr>
          <w:rFonts w:ascii="Times" w:hAnsi="Times" w:cs="Open Sans"/>
          <w:color w:val="000000" w:themeColor="text1"/>
        </w:rPr>
        <w:t xml:space="preserve"> S.3(5) of the 2006</w:t>
      </w:r>
      <w:r w:rsidR="006D1269" w:rsidRPr="00335BBC">
        <w:rPr>
          <w:rFonts w:ascii="Times" w:hAnsi="Times" w:cs="Arial"/>
          <w:color w:val="000000"/>
          <w:shd w:val="clear" w:color="auto" w:fill="FFFFFF"/>
        </w:rPr>
        <w:t xml:space="preserve"> Act </w:t>
      </w:r>
      <w:r w:rsidR="000145F1" w:rsidRPr="00335BBC">
        <w:rPr>
          <w:rFonts w:ascii="Times" w:hAnsi="Times" w:cs="Arial"/>
          <w:color w:val="000000"/>
          <w:shd w:val="clear" w:color="auto" w:fill="FFFFFF"/>
        </w:rPr>
        <w:t xml:space="preserve">and </w:t>
      </w:r>
      <w:r w:rsidR="006D1269" w:rsidRPr="00335BBC">
        <w:rPr>
          <w:rFonts w:ascii="Times" w:hAnsi="Times" w:cs="Arial"/>
          <w:color w:val="000000"/>
          <w:shd w:val="clear" w:color="auto" w:fill="FFFFFF"/>
        </w:rPr>
        <w:t xml:space="preserve">they </w:t>
      </w:r>
      <w:r w:rsidR="000145F1" w:rsidRPr="00335BBC">
        <w:rPr>
          <w:rFonts w:ascii="Times" w:hAnsi="Times" w:cs="Arial"/>
          <w:color w:val="000000"/>
          <w:shd w:val="clear" w:color="auto" w:fill="FFFFFF"/>
        </w:rPr>
        <w:t xml:space="preserve">point to the inalienable and imprescriptible </w:t>
      </w:r>
      <w:r w:rsidR="006D1269" w:rsidRPr="00335BBC">
        <w:rPr>
          <w:rFonts w:ascii="Times" w:hAnsi="Times" w:cs="Arial"/>
          <w:color w:val="000000"/>
          <w:shd w:val="clear" w:color="auto" w:fill="FFFFFF"/>
        </w:rPr>
        <w:t xml:space="preserve">status of their </w:t>
      </w:r>
      <w:r w:rsidR="000145F1" w:rsidRPr="00335BBC">
        <w:rPr>
          <w:rFonts w:ascii="Times" w:hAnsi="Times" w:cs="Arial"/>
          <w:color w:val="000000"/>
          <w:shd w:val="clear" w:color="auto" w:fill="FFFFFF"/>
        </w:rPr>
        <w:t xml:space="preserve">rights </w:t>
      </w:r>
      <w:r w:rsidR="006D1269" w:rsidRPr="00335BBC">
        <w:rPr>
          <w:rFonts w:ascii="Times" w:hAnsi="Times" w:cs="Arial"/>
          <w:color w:val="000000"/>
          <w:shd w:val="clear" w:color="auto" w:fill="FFFFFF"/>
        </w:rPr>
        <w:t xml:space="preserve">by virtue of </w:t>
      </w:r>
      <w:r w:rsidR="000145F1" w:rsidRPr="00335BBC">
        <w:rPr>
          <w:rFonts w:ascii="Times" w:hAnsi="Times" w:cs="Arial"/>
          <w:color w:val="000000"/>
          <w:shd w:val="clear" w:color="auto" w:fill="FFFFFF"/>
        </w:rPr>
        <w:t>Article 42A</w:t>
      </w:r>
      <w:r w:rsidR="006D1269" w:rsidRPr="00335BBC">
        <w:rPr>
          <w:rFonts w:ascii="Times" w:hAnsi="Times" w:cs="Arial"/>
          <w:color w:val="000000"/>
          <w:shd w:val="clear" w:color="auto" w:fill="FFFFFF"/>
        </w:rPr>
        <w:t xml:space="preserve">, which </w:t>
      </w:r>
      <w:r w:rsidR="00E47B40">
        <w:rPr>
          <w:rFonts w:ascii="Times" w:hAnsi="Times" w:cs="Arial"/>
          <w:color w:val="000000"/>
          <w:shd w:val="clear" w:color="auto" w:fill="FFFFFF"/>
        </w:rPr>
        <w:t>include</w:t>
      </w:r>
      <w:r w:rsidR="006D1269" w:rsidRPr="00335BBC">
        <w:rPr>
          <w:rFonts w:ascii="Times" w:hAnsi="Times" w:cs="Arial"/>
          <w:color w:val="000000"/>
          <w:shd w:val="clear" w:color="auto" w:fill="FFFFFF"/>
        </w:rPr>
        <w:t xml:space="preserve"> </w:t>
      </w:r>
      <w:r w:rsidR="00E47B40">
        <w:rPr>
          <w:rFonts w:ascii="Times" w:hAnsi="Times" w:cs="Arial"/>
          <w:color w:val="000000"/>
          <w:shd w:val="clear" w:color="auto" w:fill="FFFFFF"/>
        </w:rPr>
        <w:t xml:space="preserve">the </w:t>
      </w:r>
      <w:r w:rsidR="006D1269" w:rsidRPr="00335BBC">
        <w:rPr>
          <w:rFonts w:ascii="Times" w:hAnsi="Times" w:cs="Arial"/>
          <w:color w:val="000000"/>
          <w:shd w:val="clear" w:color="auto" w:fill="FFFFFF"/>
        </w:rPr>
        <w:t xml:space="preserve">core </w:t>
      </w:r>
      <w:r w:rsidR="000145F1" w:rsidRPr="00335BBC">
        <w:rPr>
          <w:rFonts w:ascii="Times" w:hAnsi="Times" w:cs="Arial"/>
          <w:color w:val="000000"/>
          <w:shd w:val="clear" w:color="auto" w:fill="FFFFFF"/>
        </w:rPr>
        <w:t>personal rights in Article 40.3.2</w:t>
      </w:r>
      <w:r w:rsidR="006D1269" w:rsidRPr="00335BBC">
        <w:rPr>
          <w:rFonts w:ascii="Times" w:hAnsi="Times" w:cs="Arial"/>
          <w:color w:val="000000"/>
          <w:shd w:val="clear" w:color="auto" w:fill="FFFFFF"/>
        </w:rPr>
        <w:t>.</w:t>
      </w:r>
      <w:r w:rsidR="0062063F">
        <w:rPr>
          <w:rFonts w:ascii="Times" w:hAnsi="Times" w:cs="Arial"/>
          <w:color w:val="000000"/>
          <w:shd w:val="clear" w:color="auto" w:fill="FFFFFF"/>
        </w:rPr>
        <w:t xml:space="preserve">  However, any suggestion that the right to a fair trial is in conflict with the rights of children and that one must yield to the other would be an error of reasoning.</w:t>
      </w:r>
    </w:p>
    <w:p w14:paraId="01B6DBCF" w14:textId="77777777" w:rsidR="000A6B95" w:rsidRPr="00335BBC" w:rsidRDefault="000A6B95" w:rsidP="00335BBC">
      <w:pPr>
        <w:spacing w:line="360" w:lineRule="auto"/>
        <w:jc w:val="both"/>
        <w:rPr>
          <w:rFonts w:ascii="Times" w:hAnsi="Times" w:cs="Arial"/>
          <w:color w:val="000000"/>
          <w:shd w:val="clear" w:color="auto" w:fill="FFFFFF"/>
        </w:rPr>
      </w:pPr>
    </w:p>
    <w:p w14:paraId="14BB4D08" w14:textId="1A47B5EC" w:rsidR="000A6B95" w:rsidRPr="00335BBC" w:rsidRDefault="0062063F" w:rsidP="00335BBC">
      <w:pPr>
        <w:pStyle w:val="ListParagraph"/>
        <w:numPr>
          <w:ilvl w:val="0"/>
          <w:numId w:val="2"/>
        </w:numPr>
        <w:spacing w:line="360" w:lineRule="auto"/>
        <w:jc w:val="both"/>
        <w:rPr>
          <w:color w:val="000000" w:themeColor="text1"/>
        </w:rPr>
      </w:pPr>
      <w:r>
        <w:rPr>
          <w:shd w:val="clear" w:color="auto" w:fill="FFFFFF"/>
        </w:rPr>
        <w:t>T</w:t>
      </w:r>
      <w:r w:rsidR="00306539" w:rsidRPr="000A6B95">
        <w:rPr>
          <w:shd w:val="clear" w:color="auto" w:fill="FFFFFF"/>
        </w:rPr>
        <w:t xml:space="preserve">he Commission </w:t>
      </w:r>
      <w:r>
        <w:rPr>
          <w:shd w:val="clear" w:color="auto" w:fill="FFFFFF"/>
        </w:rPr>
        <w:t>of course</w:t>
      </w:r>
      <w:r w:rsidR="00306539" w:rsidRPr="000A6B95">
        <w:rPr>
          <w:shd w:val="clear" w:color="auto" w:fill="FFFFFF"/>
        </w:rPr>
        <w:t xml:space="preserve"> agree</w:t>
      </w:r>
      <w:r>
        <w:rPr>
          <w:shd w:val="clear" w:color="auto" w:fill="FFFFFF"/>
        </w:rPr>
        <w:t>s</w:t>
      </w:r>
      <w:r w:rsidR="00306539" w:rsidRPr="000A6B95">
        <w:rPr>
          <w:shd w:val="clear" w:color="auto" w:fill="FFFFFF"/>
        </w:rPr>
        <w:t xml:space="preserve"> that the State has a vital duty, through its criminal laws, to protect children from harm. </w:t>
      </w:r>
    </w:p>
    <w:p w14:paraId="16D1BAAD" w14:textId="77777777" w:rsidR="000A6B95" w:rsidRPr="00335BBC" w:rsidRDefault="000A6B95" w:rsidP="00335BBC">
      <w:pPr>
        <w:pStyle w:val="ListParagraph"/>
        <w:spacing w:line="360" w:lineRule="auto"/>
        <w:ind w:left="360"/>
        <w:jc w:val="both"/>
        <w:rPr>
          <w:color w:val="000000" w:themeColor="text1"/>
        </w:rPr>
      </w:pPr>
    </w:p>
    <w:p w14:paraId="6928B21F" w14:textId="4C1AE012" w:rsidR="000A6B95" w:rsidRPr="00335BBC" w:rsidRDefault="000145F1" w:rsidP="00335BBC">
      <w:pPr>
        <w:pStyle w:val="ListParagraph"/>
        <w:numPr>
          <w:ilvl w:val="0"/>
          <w:numId w:val="2"/>
        </w:numPr>
        <w:spacing w:line="360" w:lineRule="auto"/>
        <w:jc w:val="both"/>
        <w:rPr>
          <w:color w:val="000000" w:themeColor="text1"/>
        </w:rPr>
      </w:pPr>
      <w:r w:rsidRPr="006D1269">
        <w:rPr>
          <w:rFonts w:ascii="Times" w:hAnsi="Times" w:cs="Arial"/>
          <w:color w:val="000000"/>
          <w:shd w:val="clear" w:color="auto" w:fill="FFFFFF"/>
        </w:rPr>
        <w:lastRenderedPageBreak/>
        <w:t xml:space="preserve">In </w:t>
      </w:r>
      <w:r w:rsidR="002E3DB8" w:rsidRPr="006D1269">
        <w:rPr>
          <w:rFonts w:ascii="Times" w:hAnsi="Times" w:cs="Arial"/>
          <w:color w:val="000000"/>
          <w:shd w:val="clear" w:color="auto" w:fill="FFFFFF"/>
        </w:rPr>
        <w:t>the context of the impugned section</w:t>
      </w:r>
      <w:r w:rsidRPr="006D1269">
        <w:rPr>
          <w:rFonts w:ascii="Times" w:hAnsi="Times" w:cs="Arial"/>
          <w:color w:val="000000"/>
          <w:shd w:val="clear" w:color="auto" w:fill="FFFFFF"/>
        </w:rPr>
        <w:t>, t</w:t>
      </w:r>
      <w:r w:rsidRPr="006D1269">
        <w:rPr>
          <w:rFonts w:ascii="Times" w:hAnsi="Times" w:cs="Open Sans"/>
          <w:color w:val="000000" w:themeColor="text1"/>
        </w:rPr>
        <w:t xml:space="preserve">he rights of children are reflected in the existence of the substantive offence of defilement and the requirement that the tribunal of fact must have regard to an objective standard of reasonableness when assessing whether the accused was in fact mistaken as to age. Imposing at least a mandatory evidential burden on a person accused of defilement would also </w:t>
      </w:r>
      <w:r w:rsidR="006D1269">
        <w:rPr>
          <w:rFonts w:ascii="Times" w:hAnsi="Times" w:cs="Open Sans"/>
          <w:color w:val="000000" w:themeColor="text1"/>
        </w:rPr>
        <w:t xml:space="preserve">be </w:t>
      </w:r>
      <w:r w:rsidRPr="006D1269">
        <w:rPr>
          <w:rFonts w:ascii="Times" w:hAnsi="Times" w:cs="Open Sans"/>
          <w:color w:val="000000" w:themeColor="text1"/>
        </w:rPr>
        <w:t>appropriate</w:t>
      </w:r>
      <w:r w:rsidR="00814C7E">
        <w:rPr>
          <w:rFonts w:ascii="Times" w:hAnsi="Times" w:cs="Open Sans"/>
          <w:color w:val="000000" w:themeColor="text1"/>
        </w:rPr>
        <w:t>,</w:t>
      </w:r>
      <w:r w:rsidR="006D1269">
        <w:rPr>
          <w:rFonts w:ascii="Times" w:hAnsi="Times" w:cs="Open Sans"/>
          <w:color w:val="000000" w:themeColor="text1"/>
        </w:rPr>
        <w:t xml:space="preserve"> to</w:t>
      </w:r>
      <w:r w:rsidRPr="006D1269">
        <w:rPr>
          <w:rFonts w:ascii="Times" w:hAnsi="Times" w:cs="Open Sans"/>
          <w:color w:val="000000" w:themeColor="text1"/>
        </w:rPr>
        <w:t xml:space="preserve"> reflect the duty of protection owed to children. </w:t>
      </w:r>
    </w:p>
    <w:p w14:paraId="59463144" w14:textId="77777777" w:rsidR="000A6B95" w:rsidRPr="00335BBC" w:rsidRDefault="000A6B95" w:rsidP="00335BBC">
      <w:pPr>
        <w:pStyle w:val="ListParagraph"/>
        <w:spacing w:line="360" w:lineRule="auto"/>
        <w:rPr>
          <w:color w:val="000000" w:themeColor="text1"/>
        </w:rPr>
      </w:pPr>
    </w:p>
    <w:p w14:paraId="79B587FA" w14:textId="1EF61E4E" w:rsidR="0005493F" w:rsidRDefault="00CE0EA1" w:rsidP="00335BBC">
      <w:pPr>
        <w:pStyle w:val="ListParagraph"/>
        <w:numPr>
          <w:ilvl w:val="0"/>
          <w:numId w:val="2"/>
        </w:numPr>
        <w:spacing w:line="360" w:lineRule="auto"/>
        <w:jc w:val="both"/>
        <w:rPr>
          <w:color w:val="000000" w:themeColor="text1"/>
        </w:rPr>
      </w:pPr>
      <w:r>
        <w:rPr>
          <w:color w:val="000000" w:themeColor="text1"/>
        </w:rPr>
        <w:t>It is not obvious, however, that the imposition of</w:t>
      </w:r>
      <w:r w:rsidR="0005493F">
        <w:rPr>
          <w:color w:val="000000" w:themeColor="text1"/>
        </w:rPr>
        <w:t xml:space="preserve"> a legal, as opposed to an evidential, burden </w:t>
      </w:r>
      <w:r>
        <w:rPr>
          <w:color w:val="000000" w:themeColor="text1"/>
        </w:rPr>
        <w:t xml:space="preserve">on an accused </w:t>
      </w:r>
      <w:r w:rsidR="0005493F">
        <w:rPr>
          <w:color w:val="000000" w:themeColor="text1"/>
        </w:rPr>
        <w:t xml:space="preserve">is strictly necessary in order to achieve the </w:t>
      </w:r>
      <w:r>
        <w:rPr>
          <w:color w:val="000000" w:themeColor="text1"/>
        </w:rPr>
        <w:t xml:space="preserve">specific purpose of </w:t>
      </w:r>
      <w:r w:rsidR="0005493F">
        <w:rPr>
          <w:color w:val="000000" w:themeColor="text1"/>
        </w:rPr>
        <w:t>convicti</w:t>
      </w:r>
      <w:r>
        <w:rPr>
          <w:color w:val="000000" w:themeColor="text1"/>
        </w:rPr>
        <w:t>ng</w:t>
      </w:r>
      <w:r w:rsidR="0005493F">
        <w:rPr>
          <w:color w:val="000000" w:themeColor="text1"/>
        </w:rPr>
        <w:t xml:space="preserve"> the guilty</w:t>
      </w:r>
      <w:r w:rsidR="006D1269">
        <w:rPr>
          <w:color w:val="000000" w:themeColor="text1"/>
        </w:rPr>
        <w:t xml:space="preserve"> in cases of defilement</w:t>
      </w:r>
      <w:r>
        <w:rPr>
          <w:color w:val="000000" w:themeColor="text1"/>
        </w:rPr>
        <w:t xml:space="preserve"> or the general purpose of protecting children</w:t>
      </w:r>
      <w:r w:rsidR="0005493F">
        <w:rPr>
          <w:color w:val="000000" w:themeColor="text1"/>
        </w:rPr>
        <w:t>. Another way of phrasing this is to ask whether the tas</w:t>
      </w:r>
      <w:r w:rsidR="002E3DB8">
        <w:rPr>
          <w:color w:val="000000" w:themeColor="text1"/>
        </w:rPr>
        <w:t>k</w:t>
      </w:r>
      <w:r w:rsidR="0005493F">
        <w:rPr>
          <w:color w:val="000000" w:themeColor="text1"/>
        </w:rPr>
        <w:t xml:space="preserve"> of the prosecution would be rendered </w:t>
      </w:r>
      <w:r w:rsidR="00C207C6">
        <w:rPr>
          <w:color w:val="000000" w:themeColor="text1"/>
        </w:rPr>
        <w:t xml:space="preserve">unworkable </w:t>
      </w:r>
      <w:r w:rsidR="0005493F">
        <w:rPr>
          <w:color w:val="000000" w:themeColor="text1"/>
        </w:rPr>
        <w:t>in the absence of a</w:t>
      </w:r>
      <w:r w:rsidR="0064272C">
        <w:rPr>
          <w:color w:val="000000" w:themeColor="text1"/>
        </w:rPr>
        <w:t xml:space="preserve"> legal burden being transferred?</w:t>
      </w:r>
    </w:p>
    <w:p w14:paraId="316333EE" w14:textId="77777777" w:rsidR="00CE0EA1" w:rsidRDefault="00CE0EA1" w:rsidP="00335BBC">
      <w:pPr>
        <w:pStyle w:val="ListParagraph"/>
        <w:spacing w:line="360" w:lineRule="auto"/>
        <w:ind w:left="360"/>
        <w:jc w:val="both"/>
        <w:rPr>
          <w:color w:val="000000" w:themeColor="text1"/>
        </w:rPr>
      </w:pPr>
    </w:p>
    <w:p w14:paraId="5AD24B5B" w14:textId="7102F602" w:rsidR="00CE0EA1" w:rsidRDefault="00CE0EA1" w:rsidP="00335BBC">
      <w:pPr>
        <w:pStyle w:val="ListParagraph"/>
        <w:numPr>
          <w:ilvl w:val="0"/>
          <w:numId w:val="2"/>
        </w:numPr>
        <w:spacing w:line="360" w:lineRule="auto"/>
        <w:jc w:val="both"/>
        <w:rPr>
          <w:color w:val="000000" w:themeColor="text1"/>
        </w:rPr>
      </w:pPr>
      <w:r>
        <w:rPr>
          <w:color w:val="000000" w:themeColor="text1"/>
        </w:rPr>
        <w:t xml:space="preserve">It may be helpful in this context to consider the decision of the Supreme Court in </w:t>
      </w:r>
      <w:r>
        <w:rPr>
          <w:i/>
          <w:iCs/>
          <w:color w:val="000000" w:themeColor="text1"/>
        </w:rPr>
        <w:t>People (DPP) v. Murray</w:t>
      </w:r>
      <w:r>
        <w:rPr>
          <w:rStyle w:val="FootnoteReference"/>
          <w:i/>
          <w:iCs/>
          <w:color w:val="000000" w:themeColor="text1"/>
        </w:rPr>
        <w:footnoteReference w:id="23"/>
      </w:r>
      <w:r>
        <w:rPr>
          <w:i/>
          <w:iCs/>
          <w:color w:val="000000" w:themeColor="text1"/>
        </w:rPr>
        <w:t>.</w:t>
      </w:r>
      <w:r>
        <w:rPr>
          <w:color w:val="000000" w:themeColor="text1"/>
        </w:rPr>
        <w:t xml:space="preserve"> There can be no question of the importance of protecting the right to life – there is no right superior to that – and the members of an unarmed police force who selflessly risk their lives for the safety of others in a free society</w:t>
      </w:r>
      <w:r w:rsidR="00CE2E51">
        <w:rPr>
          <w:color w:val="000000" w:themeColor="text1"/>
        </w:rPr>
        <w:t>,</w:t>
      </w:r>
      <w:r>
        <w:rPr>
          <w:color w:val="000000" w:themeColor="text1"/>
        </w:rPr>
        <w:t xml:space="preserve"> </w:t>
      </w:r>
      <w:r w:rsidR="00CE2E51">
        <w:rPr>
          <w:color w:val="000000" w:themeColor="text1"/>
        </w:rPr>
        <w:t xml:space="preserve">as Garda Michael Reynolds did, </w:t>
      </w:r>
      <w:r>
        <w:rPr>
          <w:color w:val="000000" w:themeColor="text1"/>
        </w:rPr>
        <w:t>are entitled to the greatest possible protection.</w:t>
      </w:r>
      <w:r w:rsidR="00CE2E51">
        <w:rPr>
          <w:color w:val="000000" w:themeColor="text1"/>
        </w:rPr>
        <w:t xml:space="preserve">  Even so, this Court decided that </w:t>
      </w:r>
      <w:r w:rsidR="00CE2E51" w:rsidRPr="00335BBC">
        <w:rPr>
          <w:i/>
          <w:iCs/>
          <w:color w:val="000000" w:themeColor="text1"/>
        </w:rPr>
        <w:t>mens rea</w:t>
      </w:r>
      <w:r w:rsidR="00CE2E51">
        <w:rPr>
          <w:color w:val="000000" w:themeColor="text1"/>
        </w:rPr>
        <w:t xml:space="preserve"> as to all the elements of the offence of capital murder, including the concomitant circumstance of the status of the victim as a member of An Garda Síochána acting in the course of his duties</w:t>
      </w:r>
      <w:r w:rsidR="0064272C">
        <w:rPr>
          <w:color w:val="000000" w:themeColor="text1"/>
        </w:rPr>
        <w:t>,</w:t>
      </w:r>
      <w:r w:rsidR="00CE2E51">
        <w:rPr>
          <w:color w:val="000000" w:themeColor="text1"/>
        </w:rPr>
        <w:t xml:space="preserve"> was required to be proved by the prosecution.</w:t>
      </w:r>
    </w:p>
    <w:p w14:paraId="245F969C" w14:textId="77777777" w:rsidR="00CE2E51" w:rsidRPr="00335BBC" w:rsidRDefault="00CE2E51" w:rsidP="00335BBC">
      <w:pPr>
        <w:pStyle w:val="ListParagraph"/>
        <w:spacing w:line="360" w:lineRule="auto"/>
        <w:rPr>
          <w:color w:val="000000" w:themeColor="text1"/>
        </w:rPr>
      </w:pPr>
    </w:p>
    <w:p w14:paraId="361DD9DD" w14:textId="13A58FE6" w:rsidR="00104ADC" w:rsidRPr="00335BBC" w:rsidRDefault="00CE2E51" w:rsidP="00335BBC">
      <w:pPr>
        <w:pStyle w:val="ListParagraph"/>
        <w:numPr>
          <w:ilvl w:val="0"/>
          <w:numId w:val="2"/>
        </w:numPr>
        <w:spacing w:line="360" w:lineRule="auto"/>
        <w:jc w:val="both"/>
        <w:rPr>
          <w:color w:val="000000" w:themeColor="text1"/>
        </w:rPr>
      </w:pPr>
      <w:r>
        <w:rPr>
          <w:color w:val="000000" w:themeColor="text1"/>
        </w:rPr>
        <w:t>The</w:t>
      </w:r>
      <w:r w:rsidR="00BB5A20">
        <w:rPr>
          <w:color w:val="000000" w:themeColor="text1"/>
        </w:rPr>
        <w:t xml:space="preserve"> reason why that is so is plain. T</w:t>
      </w:r>
      <w:r>
        <w:rPr>
          <w:color w:val="000000" w:themeColor="text1"/>
        </w:rPr>
        <w:t>he presumption of innocence does not conflict with the right to life; rather i</w:t>
      </w:r>
      <w:r w:rsidR="0048720E">
        <w:rPr>
          <w:color w:val="000000" w:themeColor="text1"/>
        </w:rPr>
        <w:t>t holds</w:t>
      </w:r>
      <w:r>
        <w:rPr>
          <w:color w:val="000000" w:themeColor="text1"/>
        </w:rPr>
        <w:t xml:space="preserve"> the State </w:t>
      </w:r>
      <w:r w:rsidR="0048720E">
        <w:rPr>
          <w:color w:val="000000" w:themeColor="text1"/>
        </w:rPr>
        <w:t xml:space="preserve">to a certain minimum standard when it acts to protect, defend and vindicate that right, in a manner consistent with the framing by the Constitution of the State’s duty </w:t>
      </w:r>
      <w:r w:rsidR="006D734E">
        <w:rPr>
          <w:color w:val="000000" w:themeColor="text1"/>
        </w:rPr>
        <w:t xml:space="preserve">so </w:t>
      </w:r>
      <w:r w:rsidR="0048720E">
        <w:rPr>
          <w:color w:val="000000" w:themeColor="text1"/>
        </w:rPr>
        <w:t>to act –“</w:t>
      </w:r>
      <w:r w:rsidR="0048720E" w:rsidRPr="00335BBC">
        <w:rPr>
          <w:rFonts w:ascii="Times" w:hAnsi="Times" w:cs="Open Sans"/>
          <w:i/>
          <w:iCs/>
          <w:color w:val="000000" w:themeColor="text1"/>
        </w:rPr>
        <w:t>as far as practicable</w:t>
      </w:r>
      <w:r w:rsidR="0048720E">
        <w:rPr>
          <w:rFonts w:ascii="Times" w:hAnsi="Times" w:cs="Open Sans"/>
          <w:color w:val="000000" w:themeColor="text1"/>
        </w:rPr>
        <w:t>”</w:t>
      </w:r>
      <w:r w:rsidR="0048720E" w:rsidRPr="00AC63B1">
        <w:rPr>
          <w:rFonts w:ascii="Times" w:hAnsi="Times" w:cs="Open Sans"/>
          <w:color w:val="000000" w:themeColor="text1"/>
        </w:rPr>
        <w:t xml:space="preserve"> and </w:t>
      </w:r>
      <w:r w:rsidR="0048720E">
        <w:rPr>
          <w:rFonts w:ascii="Times" w:hAnsi="Times" w:cs="Open Sans"/>
          <w:color w:val="000000" w:themeColor="text1"/>
        </w:rPr>
        <w:t>“</w:t>
      </w:r>
      <w:r w:rsidR="0048720E" w:rsidRPr="00335BBC">
        <w:rPr>
          <w:rFonts w:ascii="Times" w:hAnsi="Times" w:cs="Open Sans"/>
          <w:i/>
          <w:iCs/>
          <w:color w:val="000000" w:themeColor="text1"/>
        </w:rPr>
        <w:t>as best it may</w:t>
      </w:r>
      <w:r w:rsidR="0048720E">
        <w:rPr>
          <w:rFonts w:ascii="Times" w:hAnsi="Times" w:cs="Open Sans"/>
          <w:color w:val="000000" w:themeColor="text1"/>
        </w:rPr>
        <w:t>”. The position is no different in respect of other personal rights, including those of children.</w:t>
      </w:r>
      <w:r w:rsidR="00104ADC">
        <w:rPr>
          <w:rFonts w:ascii="Times" w:hAnsi="Times" w:cs="Open Sans"/>
          <w:color w:val="000000" w:themeColor="text1"/>
        </w:rPr>
        <w:t xml:space="preserve"> </w:t>
      </w:r>
    </w:p>
    <w:p w14:paraId="323BD106" w14:textId="77777777" w:rsidR="00104ADC" w:rsidRPr="00335BBC" w:rsidRDefault="00104ADC" w:rsidP="00335BBC">
      <w:pPr>
        <w:pStyle w:val="ListParagraph"/>
        <w:spacing w:line="360" w:lineRule="auto"/>
        <w:rPr>
          <w:rFonts w:ascii="Times" w:hAnsi="Times" w:cs="Open Sans"/>
          <w:color w:val="000000" w:themeColor="text1"/>
        </w:rPr>
      </w:pPr>
    </w:p>
    <w:p w14:paraId="08579E46" w14:textId="0114DFED" w:rsidR="00CE2E51" w:rsidRDefault="00104ADC" w:rsidP="00335BBC">
      <w:pPr>
        <w:pStyle w:val="ListParagraph"/>
        <w:numPr>
          <w:ilvl w:val="0"/>
          <w:numId w:val="2"/>
        </w:numPr>
        <w:spacing w:line="360" w:lineRule="auto"/>
        <w:jc w:val="both"/>
        <w:rPr>
          <w:color w:val="000000" w:themeColor="text1"/>
        </w:rPr>
      </w:pPr>
      <w:r>
        <w:rPr>
          <w:rFonts w:ascii="Times" w:hAnsi="Times" w:cs="Open Sans"/>
          <w:color w:val="000000" w:themeColor="text1"/>
        </w:rPr>
        <w:t xml:space="preserve">When one of the elements of the offence is that the victim be a child, or a child below a certain age, that concomitant circumstance is an element of the offence in respect of which </w:t>
      </w:r>
      <w:r>
        <w:rPr>
          <w:rFonts w:ascii="Times" w:hAnsi="Times" w:cs="Open Sans"/>
          <w:i/>
          <w:iCs/>
          <w:color w:val="000000" w:themeColor="text1"/>
        </w:rPr>
        <w:t>mens rea</w:t>
      </w:r>
      <w:r>
        <w:rPr>
          <w:rFonts w:ascii="Times" w:hAnsi="Times" w:cs="Open Sans"/>
          <w:color w:val="000000" w:themeColor="text1"/>
        </w:rPr>
        <w:t xml:space="preserve"> is required to be proved to the criminal standard by the prosecution.</w:t>
      </w:r>
    </w:p>
    <w:p w14:paraId="6C5B22B4" w14:textId="77777777" w:rsidR="007A6D1E" w:rsidRPr="000145F1" w:rsidRDefault="007A6D1E" w:rsidP="00335BBC">
      <w:pPr>
        <w:pStyle w:val="ListParagraph"/>
        <w:spacing w:line="360" w:lineRule="auto"/>
        <w:ind w:left="360"/>
        <w:jc w:val="both"/>
        <w:rPr>
          <w:color w:val="000000" w:themeColor="text1"/>
        </w:rPr>
      </w:pPr>
    </w:p>
    <w:p w14:paraId="0E292314" w14:textId="673C4622" w:rsidR="007A6D1E" w:rsidRDefault="000B0090" w:rsidP="00E3746D">
      <w:pPr>
        <w:pStyle w:val="Heading1"/>
      </w:pPr>
      <w:bookmarkStart w:id="6" w:name="_Toc128532594"/>
      <w:r w:rsidRPr="000B0090">
        <w:lastRenderedPageBreak/>
        <w:t>The</w:t>
      </w:r>
      <w:r w:rsidR="007A6D1E" w:rsidRPr="000B0090">
        <w:t xml:space="preserve"> ECHR caselaw is </w:t>
      </w:r>
      <w:r w:rsidRPr="000B0090">
        <w:t>too underdeveloped to yield useful principles</w:t>
      </w:r>
      <w:bookmarkEnd w:id="6"/>
    </w:p>
    <w:p w14:paraId="0E5B819D" w14:textId="77777777" w:rsidR="00E3746D" w:rsidRPr="00E3746D" w:rsidRDefault="00E3746D" w:rsidP="00E3746D"/>
    <w:p w14:paraId="5B336FE2" w14:textId="4C7A649B" w:rsidR="007A6D1E" w:rsidRPr="005512AF" w:rsidRDefault="007A6D1E" w:rsidP="00335BBC">
      <w:pPr>
        <w:pStyle w:val="ListParagraph"/>
        <w:numPr>
          <w:ilvl w:val="0"/>
          <w:numId w:val="2"/>
        </w:numPr>
        <w:spacing w:line="360" w:lineRule="auto"/>
        <w:jc w:val="both"/>
        <w:rPr>
          <w:color w:val="000000" w:themeColor="text1"/>
        </w:rPr>
      </w:pPr>
      <w:r>
        <w:rPr>
          <w:rFonts w:ascii="Times" w:hAnsi="Times" w:cs="Arial"/>
          <w:color w:val="000000"/>
          <w:shd w:val="clear" w:color="auto" w:fill="FFFFFF"/>
        </w:rPr>
        <w:t>I</w:t>
      </w:r>
      <w:r w:rsidRPr="005512AF">
        <w:rPr>
          <w:rFonts w:ascii="Times" w:hAnsi="Times" w:cs="Arial"/>
          <w:color w:val="000000"/>
          <w:shd w:val="clear" w:color="auto" w:fill="FFFFFF"/>
        </w:rPr>
        <w:t>n respect of the ECHR rights form</w:t>
      </w:r>
      <w:r w:rsidR="00E07644">
        <w:rPr>
          <w:rFonts w:ascii="Times" w:hAnsi="Times" w:cs="Arial"/>
          <w:color w:val="000000"/>
          <w:shd w:val="clear" w:color="auto" w:fill="FFFFFF"/>
        </w:rPr>
        <w:t>ing</w:t>
      </w:r>
      <w:r w:rsidRPr="005512AF">
        <w:rPr>
          <w:rFonts w:ascii="Times" w:hAnsi="Times" w:cs="Arial"/>
          <w:color w:val="000000"/>
          <w:shd w:val="clear" w:color="auto" w:fill="FFFFFF"/>
        </w:rPr>
        <w:t xml:space="preserve"> part of </w:t>
      </w:r>
      <w:r w:rsidR="00814C7E">
        <w:rPr>
          <w:rFonts w:ascii="Times" w:hAnsi="Times" w:cs="Arial"/>
          <w:color w:val="000000"/>
          <w:shd w:val="clear" w:color="auto" w:fill="FFFFFF"/>
        </w:rPr>
        <w:t xml:space="preserve">our </w:t>
      </w:r>
      <w:r w:rsidRPr="005512AF">
        <w:rPr>
          <w:rFonts w:ascii="Times" w:hAnsi="Times" w:cs="Arial"/>
          <w:color w:val="000000"/>
          <w:shd w:val="clear" w:color="auto" w:fill="FFFFFF"/>
        </w:rPr>
        <w:t>domestic law through the ECHR Act 2003, th</w:t>
      </w:r>
      <w:r w:rsidR="00814C7E">
        <w:rPr>
          <w:rFonts w:ascii="Times" w:hAnsi="Times" w:cs="Arial"/>
          <w:color w:val="000000"/>
          <w:shd w:val="clear" w:color="auto" w:fill="FFFFFF"/>
        </w:rPr>
        <w:t>e organs of the</w:t>
      </w:r>
      <w:r w:rsidRPr="005512AF">
        <w:rPr>
          <w:rFonts w:ascii="Times" w:hAnsi="Times" w:cs="Arial"/>
          <w:color w:val="000000"/>
          <w:shd w:val="clear" w:color="auto" w:fill="FFFFFF"/>
        </w:rPr>
        <w:t xml:space="preserve"> State ha</w:t>
      </w:r>
      <w:r w:rsidR="00814C7E">
        <w:rPr>
          <w:rFonts w:ascii="Times" w:hAnsi="Times" w:cs="Arial"/>
          <w:color w:val="000000"/>
          <w:shd w:val="clear" w:color="auto" w:fill="FFFFFF"/>
        </w:rPr>
        <w:t>ve</w:t>
      </w:r>
      <w:r w:rsidRPr="005512AF">
        <w:rPr>
          <w:rFonts w:ascii="Times" w:hAnsi="Times" w:cs="Arial"/>
          <w:color w:val="000000"/>
          <w:shd w:val="clear" w:color="auto" w:fill="FFFFFF"/>
        </w:rPr>
        <w:t xml:space="preserve"> dut</w:t>
      </w:r>
      <w:r>
        <w:rPr>
          <w:rFonts w:ascii="Times" w:hAnsi="Times" w:cs="Arial"/>
          <w:color w:val="000000"/>
          <w:shd w:val="clear" w:color="auto" w:fill="FFFFFF"/>
        </w:rPr>
        <w:t>ies to victims of crime</w:t>
      </w:r>
      <w:r w:rsidRPr="005512AF">
        <w:rPr>
          <w:rFonts w:ascii="Times" w:hAnsi="Times" w:cs="Arial"/>
          <w:color w:val="000000"/>
          <w:shd w:val="clear" w:color="auto" w:fill="FFFFFF"/>
        </w:rPr>
        <w:t xml:space="preserve">, </w:t>
      </w:r>
      <w:r>
        <w:rPr>
          <w:rFonts w:ascii="Times" w:hAnsi="Times" w:cs="Arial"/>
          <w:color w:val="000000"/>
          <w:shd w:val="clear" w:color="auto" w:fill="FFFFFF"/>
        </w:rPr>
        <w:t>including in particular to children.</w:t>
      </w:r>
      <w:r w:rsidRPr="005512AF">
        <w:rPr>
          <w:rFonts w:ascii="Times" w:hAnsi="Times" w:cs="Arial"/>
          <w:color w:val="000000"/>
          <w:shd w:val="clear" w:color="auto" w:fill="FFFFFF"/>
        </w:rPr>
        <w:t xml:space="preserve"> </w:t>
      </w:r>
      <w:r>
        <w:rPr>
          <w:rFonts w:ascii="Times" w:hAnsi="Times" w:cs="Arial"/>
          <w:color w:val="000000"/>
          <w:shd w:val="clear" w:color="auto" w:fill="FFFFFF"/>
        </w:rPr>
        <w:t>I</w:t>
      </w:r>
      <w:r w:rsidRPr="005512AF">
        <w:rPr>
          <w:rFonts w:ascii="Times" w:hAnsi="Times" w:cs="Arial"/>
          <w:color w:val="000000"/>
          <w:shd w:val="clear" w:color="auto" w:fill="FFFFFF"/>
        </w:rPr>
        <w:t xml:space="preserve">n </w:t>
      </w:r>
      <w:r w:rsidRPr="005512AF">
        <w:rPr>
          <w:rFonts w:ascii="Times" w:hAnsi="Times" w:cs="Arial"/>
          <w:i/>
          <w:iCs/>
          <w:color w:val="000000"/>
          <w:shd w:val="clear" w:color="auto" w:fill="FFFFFF"/>
        </w:rPr>
        <w:t>K.U. v Finland</w:t>
      </w:r>
      <w:r w:rsidR="00C80E26">
        <w:rPr>
          <w:rStyle w:val="FootnoteReference"/>
          <w:rFonts w:ascii="Times" w:hAnsi="Times" w:cs="Arial"/>
          <w:i/>
          <w:iCs/>
          <w:color w:val="000000"/>
          <w:shd w:val="clear" w:color="auto" w:fill="FFFFFF"/>
        </w:rPr>
        <w:footnoteReference w:id="24"/>
      </w:r>
      <w:r w:rsidRPr="005512AF">
        <w:rPr>
          <w:rFonts w:ascii="Times" w:hAnsi="Times" w:cs="Arial"/>
          <w:i/>
          <w:iCs/>
          <w:color w:val="000000"/>
          <w:shd w:val="clear" w:color="auto" w:fill="FFFFFF"/>
        </w:rPr>
        <w:t xml:space="preserve">, </w:t>
      </w:r>
      <w:r w:rsidRPr="005512AF">
        <w:rPr>
          <w:rFonts w:ascii="Times" w:hAnsi="Times" w:cs="Arial"/>
          <w:color w:val="000000"/>
          <w:shd w:val="clear" w:color="auto" w:fill="FFFFFF"/>
        </w:rPr>
        <w:t>the ECtHR noted that:</w:t>
      </w:r>
    </w:p>
    <w:p w14:paraId="5F582517" w14:textId="77777777" w:rsidR="007A6D1E" w:rsidRPr="00B96FD7" w:rsidRDefault="007A6D1E" w:rsidP="00335BBC">
      <w:pPr>
        <w:pStyle w:val="ListParagraph"/>
        <w:spacing w:line="360" w:lineRule="auto"/>
        <w:rPr>
          <w:rStyle w:val="sb8d990e2"/>
          <w:rFonts w:ascii="Times" w:hAnsi="Times" w:cs="Open Sans"/>
          <w:color w:val="000000" w:themeColor="text1"/>
        </w:rPr>
      </w:pPr>
    </w:p>
    <w:p w14:paraId="5393C416" w14:textId="37D3CCE0" w:rsidR="007A6D1E" w:rsidRPr="00B96FD7" w:rsidRDefault="007A6D1E" w:rsidP="00335BBC">
      <w:pPr>
        <w:pStyle w:val="ListParagraph"/>
        <w:shd w:val="clear" w:color="auto" w:fill="FFFFFF"/>
        <w:spacing w:after="240" w:line="360" w:lineRule="auto"/>
        <w:jc w:val="both"/>
        <w:rPr>
          <w:rStyle w:val="sb8d990e2"/>
          <w:rFonts w:ascii="Times" w:hAnsi="Times" w:cs="Open Sans"/>
          <w:color w:val="000000" w:themeColor="text1"/>
        </w:rPr>
      </w:pPr>
      <w:r w:rsidRPr="00B96FD7">
        <w:rPr>
          <w:rStyle w:val="sb8d990e2"/>
          <w:rFonts w:ascii="Times" w:hAnsi="Times" w:cs="Arial"/>
          <w:i/>
          <w:iCs/>
          <w:color w:val="000000"/>
          <w:shd w:val="clear" w:color="auto" w:fill="FFFFFF"/>
        </w:rPr>
        <w:t>‘States have a positive obligation inherent in Article 8 of the Convention to criminalise offences against the person, including attempted offences, and to reinforce the deterrent effect of criminalisation by applying criminal</w:t>
      </w:r>
      <w:r w:rsidRPr="00B96FD7">
        <w:rPr>
          <w:rStyle w:val="sb8d990e2"/>
          <w:rFonts w:ascii="Times" w:hAnsi="Times" w:cs="Arial"/>
          <w:i/>
          <w:iCs/>
          <w:color w:val="000000"/>
          <w:shd w:val="clear" w:color="auto" w:fill="FFFFFF"/>
        </w:rPr>
        <w:noBreakHyphen/>
        <w:t>law provisions in practice through effective investigation and prosecution (see, </w:t>
      </w:r>
      <w:r w:rsidRPr="00B96FD7">
        <w:rPr>
          <w:rStyle w:val="s6b621b36"/>
          <w:rFonts w:ascii="Times" w:hAnsi="Times" w:cs="Arial"/>
          <w:i/>
          <w:iCs/>
          <w:color w:val="000000"/>
          <w:shd w:val="clear" w:color="auto" w:fill="FFFFFF"/>
        </w:rPr>
        <w:t>mutatis mutandis</w:t>
      </w:r>
      <w:r w:rsidRPr="00B96FD7">
        <w:rPr>
          <w:rStyle w:val="sb8d990e2"/>
          <w:rFonts w:ascii="Times" w:hAnsi="Times" w:cs="Arial"/>
          <w:i/>
          <w:iCs/>
          <w:color w:val="000000"/>
          <w:shd w:val="clear" w:color="auto" w:fill="FFFFFF"/>
        </w:rPr>
        <w:t>, </w:t>
      </w:r>
      <w:bookmarkStart w:id="7" w:name="File6"/>
      <w:r w:rsidRPr="00B96FD7">
        <w:rPr>
          <w:rStyle w:val="s6b621b36"/>
          <w:rFonts w:ascii="Times" w:hAnsi="Times" w:cs="Arial"/>
          <w:i/>
          <w:iCs/>
          <w:color w:val="000000"/>
          <w:shd w:val="clear" w:color="auto" w:fill="FFFFFF"/>
        </w:rPr>
        <w:t>M.C.</w:t>
      </w:r>
      <w:bookmarkEnd w:id="7"/>
      <w:r w:rsidRPr="00B96FD7">
        <w:rPr>
          <w:rStyle w:val="s6b621b36"/>
          <w:rFonts w:ascii="Times" w:hAnsi="Times" w:cs="Arial"/>
          <w:i/>
          <w:iCs/>
          <w:color w:val="000000"/>
          <w:shd w:val="clear" w:color="auto" w:fill="FFFFFF"/>
        </w:rPr>
        <w:t> v. Bulgaria</w:t>
      </w:r>
      <w:r w:rsidRPr="00B96FD7">
        <w:rPr>
          <w:rStyle w:val="sb8d990e2"/>
          <w:rFonts w:ascii="Times" w:hAnsi="Times" w:cs="Arial"/>
          <w:i/>
          <w:iCs/>
          <w:color w:val="000000"/>
          <w:shd w:val="clear" w:color="auto" w:fill="FFFFFF"/>
        </w:rPr>
        <w:t>,</w:t>
      </w:r>
      <w:r w:rsidRPr="00B96FD7">
        <w:rPr>
          <w:rStyle w:val="s6b621b36"/>
          <w:rFonts w:ascii="Times" w:hAnsi="Times" w:cs="Arial"/>
          <w:i/>
          <w:iCs/>
          <w:color w:val="000000"/>
          <w:shd w:val="clear" w:color="auto" w:fill="FFFFFF"/>
        </w:rPr>
        <w:t> </w:t>
      </w:r>
      <w:r w:rsidRPr="00B96FD7">
        <w:rPr>
          <w:rStyle w:val="sb8d990e2"/>
          <w:rFonts w:ascii="Times" w:hAnsi="Times" w:cs="Arial"/>
          <w:i/>
          <w:iCs/>
          <w:color w:val="000000"/>
          <w:shd w:val="clear" w:color="auto" w:fill="FFFFFF"/>
        </w:rPr>
        <w:t>cited above, § 153). Where the physical and moral welfare of a child is threatened, such injunction assumes even greater importance.’</w:t>
      </w:r>
    </w:p>
    <w:p w14:paraId="66D66CF0" w14:textId="77777777" w:rsidR="007A6D1E" w:rsidRPr="002E3DB8" w:rsidRDefault="007A6D1E" w:rsidP="00335BBC">
      <w:pPr>
        <w:pStyle w:val="ListParagraph"/>
        <w:spacing w:line="360" w:lineRule="auto"/>
        <w:rPr>
          <w:rFonts w:ascii="Times" w:hAnsi="Times" w:cs="Arial"/>
          <w:color w:val="000000"/>
          <w:shd w:val="clear" w:color="auto" w:fill="FFFFFF"/>
        </w:rPr>
      </w:pPr>
    </w:p>
    <w:p w14:paraId="295CA4FA" w14:textId="7912E25D" w:rsidR="007A6D1E" w:rsidRPr="000B0090" w:rsidRDefault="007A6D1E" w:rsidP="00335BBC">
      <w:pPr>
        <w:pStyle w:val="ListParagraph"/>
        <w:numPr>
          <w:ilvl w:val="0"/>
          <w:numId w:val="2"/>
        </w:numPr>
        <w:shd w:val="clear" w:color="auto" w:fill="FFFFFF"/>
        <w:spacing w:after="240" w:line="360" w:lineRule="auto"/>
        <w:jc w:val="both"/>
        <w:rPr>
          <w:rFonts w:ascii="Times" w:hAnsi="Times" w:cs="Arial"/>
          <w:i/>
          <w:iCs/>
          <w:color w:val="000000"/>
          <w:shd w:val="clear" w:color="auto" w:fill="FFFFFF"/>
        </w:rPr>
      </w:pPr>
      <w:r>
        <w:rPr>
          <w:rFonts w:ascii="Times" w:hAnsi="Times" w:cs="Arial"/>
          <w:color w:val="000000"/>
          <w:shd w:val="clear" w:color="auto" w:fill="FFFFFF"/>
        </w:rPr>
        <w:t>T</w:t>
      </w:r>
      <w:r w:rsidRPr="00D62F13">
        <w:rPr>
          <w:rFonts w:ascii="Times" w:hAnsi="Times" w:cs="Arial"/>
          <w:color w:val="000000"/>
          <w:shd w:val="clear" w:color="auto" w:fill="FFFFFF"/>
        </w:rPr>
        <w:t xml:space="preserve">he </w:t>
      </w:r>
      <w:r>
        <w:rPr>
          <w:rFonts w:ascii="Times" w:hAnsi="Times" w:cs="Arial"/>
          <w:color w:val="000000"/>
          <w:shd w:val="clear" w:color="auto" w:fill="FFFFFF"/>
        </w:rPr>
        <w:t>ECtHR</w:t>
      </w:r>
      <w:r w:rsidRPr="00D62F13">
        <w:rPr>
          <w:rFonts w:ascii="Times" w:hAnsi="Times" w:cs="Arial"/>
          <w:color w:val="000000"/>
          <w:shd w:val="clear" w:color="auto" w:fill="FFFFFF"/>
        </w:rPr>
        <w:t xml:space="preserve"> has recognised the obligation </w:t>
      </w:r>
      <w:r w:rsidR="00E07644">
        <w:rPr>
          <w:rFonts w:ascii="Times" w:hAnsi="Times" w:cs="Arial"/>
          <w:color w:val="000000"/>
          <w:shd w:val="clear" w:color="auto" w:fill="FFFFFF"/>
        </w:rPr>
        <w:t xml:space="preserve">of States </w:t>
      </w:r>
      <w:r w:rsidRPr="00D62F13">
        <w:rPr>
          <w:rFonts w:ascii="Times" w:hAnsi="Times" w:cs="Arial"/>
          <w:color w:val="000000"/>
          <w:shd w:val="clear" w:color="auto" w:fill="FFFFFF"/>
        </w:rPr>
        <w:t xml:space="preserve">to provide an effective remedy, under Article 13 ECHR, against </w:t>
      </w:r>
      <w:r>
        <w:rPr>
          <w:rFonts w:ascii="Times" w:hAnsi="Times" w:cs="Arial"/>
          <w:color w:val="000000"/>
          <w:shd w:val="clear" w:color="auto" w:fill="FFFFFF"/>
        </w:rPr>
        <w:t xml:space="preserve">State </w:t>
      </w:r>
      <w:r w:rsidR="00E07644">
        <w:rPr>
          <w:rFonts w:ascii="Times" w:hAnsi="Times" w:cs="Arial"/>
          <w:color w:val="000000"/>
          <w:shd w:val="clear" w:color="auto" w:fill="FFFFFF"/>
        </w:rPr>
        <w:t xml:space="preserve">failures and </w:t>
      </w:r>
      <w:r>
        <w:rPr>
          <w:rFonts w:ascii="Times" w:hAnsi="Times" w:cs="Arial"/>
          <w:color w:val="000000"/>
          <w:shd w:val="clear" w:color="auto" w:fill="FFFFFF"/>
        </w:rPr>
        <w:t xml:space="preserve">inaction </w:t>
      </w:r>
      <w:r w:rsidR="00E07644">
        <w:rPr>
          <w:rFonts w:ascii="Times" w:hAnsi="Times" w:cs="Arial"/>
          <w:color w:val="000000"/>
          <w:shd w:val="clear" w:color="auto" w:fill="FFFFFF"/>
        </w:rPr>
        <w:t xml:space="preserve">leading to </w:t>
      </w:r>
      <w:r w:rsidRPr="00D62F13">
        <w:rPr>
          <w:rFonts w:ascii="Times" w:hAnsi="Times" w:cs="Arial"/>
          <w:color w:val="000000"/>
          <w:shd w:val="clear" w:color="auto" w:fill="FFFFFF"/>
        </w:rPr>
        <w:t xml:space="preserve">breach of victim’s rights under Articles 2, 3 and 8 ECHR. This includes </w:t>
      </w:r>
      <w:r w:rsidR="00E07644">
        <w:rPr>
          <w:rFonts w:ascii="Times" w:hAnsi="Times" w:cs="Arial"/>
          <w:color w:val="000000"/>
          <w:shd w:val="clear" w:color="auto" w:fill="FFFFFF"/>
        </w:rPr>
        <w:t>an obligation on State</w:t>
      </w:r>
      <w:r w:rsidR="00C207C6">
        <w:rPr>
          <w:rFonts w:ascii="Times" w:hAnsi="Times" w:cs="Arial"/>
          <w:color w:val="000000"/>
          <w:shd w:val="clear" w:color="auto" w:fill="FFFFFF"/>
        </w:rPr>
        <w:t>s</w:t>
      </w:r>
      <w:r w:rsidR="00E07644">
        <w:rPr>
          <w:rFonts w:ascii="Times" w:hAnsi="Times" w:cs="Arial"/>
          <w:color w:val="000000"/>
          <w:shd w:val="clear" w:color="auto" w:fill="FFFFFF"/>
        </w:rPr>
        <w:t xml:space="preserve"> to provide adequate </w:t>
      </w:r>
      <w:r w:rsidRPr="00D62F13">
        <w:rPr>
          <w:rFonts w:ascii="Times" w:hAnsi="Times" w:cs="Arial"/>
          <w:color w:val="000000"/>
          <w:shd w:val="clear" w:color="auto" w:fill="FFFFFF"/>
        </w:rPr>
        <w:t xml:space="preserve">substantive and procedural </w:t>
      </w:r>
      <w:r w:rsidR="00E07644">
        <w:rPr>
          <w:rFonts w:ascii="Times" w:hAnsi="Times" w:cs="Arial"/>
          <w:color w:val="000000"/>
          <w:shd w:val="clear" w:color="auto" w:fill="FFFFFF"/>
        </w:rPr>
        <w:t>measures</w:t>
      </w:r>
      <w:r w:rsidRPr="00D62F13">
        <w:rPr>
          <w:rFonts w:ascii="Times" w:hAnsi="Times" w:cs="Arial"/>
          <w:color w:val="000000"/>
          <w:shd w:val="clear" w:color="auto" w:fill="FFFFFF"/>
        </w:rPr>
        <w:t xml:space="preserve"> to ensure that crime is prevented, properly investigated and </w:t>
      </w:r>
      <w:r w:rsidR="003A7311">
        <w:rPr>
          <w:rFonts w:ascii="Times" w:hAnsi="Times" w:cs="Arial"/>
          <w:color w:val="000000"/>
          <w:shd w:val="clear" w:color="auto" w:fill="FFFFFF"/>
        </w:rPr>
        <w:t>prosecuted effectively</w:t>
      </w:r>
      <w:r w:rsidRPr="00D62F13">
        <w:rPr>
          <w:rFonts w:ascii="Times" w:hAnsi="Times" w:cs="Arial"/>
          <w:color w:val="000000"/>
          <w:shd w:val="clear" w:color="auto" w:fill="FFFFFF"/>
        </w:rPr>
        <w:t xml:space="preserve">. </w:t>
      </w:r>
      <w:r w:rsidR="00814C7E">
        <w:rPr>
          <w:rFonts w:ascii="Times" w:hAnsi="Times" w:cs="Arial"/>
          <w:color w:val="000000"/>
          <w:shd w:val="clear" w:color="auto" w:fill="FFFFFF"/>
        </w:rPr>
        <w:t>A mar</w:t>
      </w:r>
      <w:r w:rsidR="008E585B">
        <w:rPr>
          <w:rFonts w:ascii="Times" w:hAnsi="Times" w:cs="Arial"/>
          <w:color w:val="000000"/>
          <w:shd w:val="clear" w:color="auto" w:fill="FFFFFF"/>
        </w:rPr>
        <w:t xml:space="preserve">gin of appreciation is afforded to </w:t>
      </w:r>
      <w:r w:rsidR="00C207C6">
        <w:rPr>
          <w:rFonts w:ascii="Times" w:hAnsi="Times" w:cs="Arial"/>
          <w:color w:val="000000"/>
          <w:shd w:val="clear" w:color="auto" w:fill="FFFFFF"/>
        </w:rPr>
        <w:t>S</w:t>
      </w:r>
      <w:r w:rsidR="008E585B">
        <w:rPr>
          <w:rFonts w:ascii="Times" w:hAnsi="Times" w:cs="Arial"/>
          <w:color w:val="000000"/>
          <w:shd w:val="clear" w:color="auto" w:fill="FFFFFF"/>
        </w:rPr>
        <w:t xml:space="preserve">tates however. It is unlikely that a provision which provided for an evidential burden only on an accused in respect of an offence of defilement would be held by the ECtHR to be incompatible with the rights of children under Article 3 or 8 ECHR.  </w:t>
      </w:r>
    </w:p>
    <w:p w14:paraId="7F48563E" w14:textId="77777777" w:rsidR="000B0090" w:rsidRPr="000B0090" w:rsidRDefault="000B0090" w:rsidP="00335BBC">
      <w:pPr>
        <w:pStyle w:val="ListParagraph"/>
        <w:shd w:val="clear" w:color="auto" w:fill="FFFFFF"/>
        <w:spacing w:after="240" w:line="360" w:lineRule="auto"/>
        <w:ind w:left="360"/>
        <w:jc w:val="both"/>
        <w:rPr>
          <w:rFonts w:ascii="Times" w:hAnsi="Times" w:cs="Arial"/>
          <w:i/>
          <w:iCs/>
          <w:color w:val="000000"/>
          <w:shd w:val="clear" w:color="auto" w:fill="FFFFFF"/>
        </w:rPr>
      </w:pPr>
    </w:p>
    <w:p w14:paraId="2FC5A194" w14:textId="43FF0857" w:rsidR="000B0090" w:rsidRPr="00D62F13" w:rsidRDefault="007A6D1E" w:rsidP="00335BBC">
      <w:pPr>
        <w:pStyle w:val="ListParagraph"/>
        <w:numPr>
          <w:ilvl w:val="0"/>
          <w:numId w:val="2"/>
        </w:numPr>
        <w:spacing w:line="360" w:lineRule="auto"/>
        <w:jc w:val="both"/>
        <w:rPr>
          <w:rFonts w:ascii="Times" w:hAnsi="Times"/>
          <w:i/>
          <w:iCs/>
          <w:color w:val="000000" w:themeColor="text1"/>
        </w:rPr>
      </w:pPr>
      <w:r>
        <w:rPr>
          <w:rFonts w:ascii="Times" w:hAnsi="Times"/>
        </w:rPr>
        <w:t>The European Convention on Human Rights, like the Canadian Charter, Constitution of Australia, New Zealand Bill of Rights and South African Constitution, expressly provides for protection of the presu</w:t>
      </w:r>
      <w:r w:rsidRPr="00214C76">
        <w:rPr>
          <w:rFonts w:ascii="Times" w:hAnsi="Times"/>
        </w:rPr>
        <w:t>mption of innocence</w:t>
      </w:r>
      <w:r>
        <w:rPr>
          <w:rFonts w:ascii="Times" w:hAnsi="Times"/>
        </w:rPr>
        <w:t xml:space="preserve">. </w:t>
      </w:r>
      <w:r w:rsidR="000B0090">
        <w:rPr>
          <w:rFonts w:ascii="Times" w:hAnsi="Times"/>
        </w:rPr>
        <w:t xml:space="preserve">But </w:t>
      </w:r>
      <w:r w:rsidR="000B0090">
        <w:rPr>
          <w:rFonts w:ascii="Times" w:hAnsi="Times"/>
          <w:color w:val="000000" w:themeColor="text1"/>
        </w:rPr>
        <w:t>u</w:t>
      </w:r>
      <w:r w:rsidR="000B0090" w:rsidRPr="00D62F13">
        <w:rPr>
          <w:rFonts w:ascii="Times" w:hAnsi="Times"/>
          <w:color w:val="000000" w:themeColor="text1"/>
        </w:rPr>
        <w:t>nder Convention caselaw</w:t>
      </w:r>
      <w:r w:rsidR="000B0090">
        <w:rPr>
          <w:rFonts w:ascii="Times" w:hAnsi="Times"/>
          <w:color w:val="000000" w:themeColor="text1"/>
        </w:rPr>
        <w:t>,</w:t>
      </w:r>
      <w:r w:rsidR="000B0090" w:rsidRPr="00D62F13">
        <w:rPr>
          <w:rFonts w:ascii="Times" w:hAnsi="Times"/>
          <w:color w:val="000000" w:themeColor="text1"/>
        </w:rPr>
        <w:t xml:space="preserve"> </w:t>
      </w:r>
      <w:r w:rsidR="000B0090">
        <w:rPr>
          <w:rFonts w:ascii="Times" w:hAnsi="Times"/>
          <w:color w:val="000000" w:themeColor="text1"/>
        </w:rPr>
        <w:t>as is also the case in</w:t>
      </w:r>
      <w:r w:rsidR="000B0090" w:rsidRPr="00D62F13">
        <w:rPr>
          <w:rFonts w:ascii="Times" w:hAnsi="Times"/>
          <w:color w:val="000000" w:themeColor="text1"/>
        </w:rPr>
        <w:t xml:space="preserve"> </w:t>
      </w:r>
      <w:r w:rsidR="008E585B">
        <w:rPr>
          <w:rFonts w:ascii="Times" w:hAnsi="Times"/>
          <w:color w:val="000000" w:themeColor="text1"/>
        </w:rPr>
        <w:t>most</w:t>
      </w:r>
      <w:r w:rsidR="000B0090">
        <w:rPr>
          <w:rFonts w:ascii="Times" w:hAnsi="Times"/>
          <w:color w:val="000000" w:themeColor="text1"/>
        </w:rPr>
        <w:t xml:space="preserve"> </w:t>
      </w:r>
      <w:r w:rsidR="000B0090" w:rsidRPr="00D62F13">
        <w:rPr>
          <w:rFonts w:ascii="Times" w:hAnsi="Times"/>
          <w:color w:val="000000" w:themeColor="text1"/>
        </w:rPr>
        <w:t xml:space="preserve">common law jurisdictions, shifting </w:t>
      </w:r>
      <w:r w:rsidR="000B0090">
        <w:rPr>
          <w:rFonts w:ascii="Times" w:hAnsi="Times"/>
          <w:color w:val="000000" w:themeColor="text1"/>
        </w:rPr>
        <w:t xml:space="preserve">of </w:t>
      </w:r>
      <w:r w:rsidR="000B0090" w:rsidRPr="00D62F13">
        <w:rPr>
          <w:rFonts w:ascii="Times" w:hAnsi="Times"/>
          <w:color w:val="000000" w:themeColor="text1"/>
        </w:rPr>
        <w:t xml:space="preserve">the legal burden onto an accused is not absolutely prohibited. </w:t>
      </w:r>
    </w:p>
    <w:p w14:paraId="2CC2543A" w14:textId="77777777" w:rsidR="007A6D1E" w:rsidRPr="00B67EDF" w:rsidRDefault="007A6D1E" w:rsidP="00335BBC">
      <w:pPr>
        <w:spacing w:line="360" w:lineRule="auto"/>
        <w:rPr>
          <w:rFonts w:ascii="Times" w:hAnsi="Times"/>
        </w:rPr>
      </w:pPr>
    </w:p>
    <w:p w14:paraId="0C2FF1CE" w14:textId="388368B5" w:rsidR="00331BD5" w:rsidRPr="00331BD5" w:rsidRDefault="007A6D1E" w:rsidP="00335BBC">
      <w:pPr>
        <w:pStyle w:val="ListParagraph"/>
        <w:numPr>
          <w:ilvl w:val="0"/>
          <w:numId w:val="2"/>
        </w:numPr>
        <w:spacing w:line="360" w:lineRule="auto"/>
        <w:jc w:val="both"/>
        <w:rPr>
          <w:rFonts w:ascii="Times" w:hAnsi="Times"/>
          <w:i/>
          <w:iCs/>
        </w:rPr>
      </w:pPr>
      <w:r w:rsidRPr="00D20F08">
        <w:rPr>
          <w:rFonts w:ascii="Times" w:hAnsi="Times"/>
        </w:rPr>
        <w:t xml:space="preserve">In </w:t>
      </w:r>
      <w:r w:rsidRPr="00D20F08">
        <w:rPr>
          <w:rFonts w:ascii="Times" w:hAnsi="Times"/>
          <w:i/>
          <w:iCs/>
        </w:rPr>
        <w:t>Deweer v Belgium</w:t>
      </w:r>
      <w:r w:rsidR="00C80E26">
        <w:rPr>
          <w:rStyle w:val="FootnoteReference"/>
          <w:rFonts w:ascii="Times" w:hAnsi="Times"/>
          <w:i/>
          <w:iCs/>
        </w:rPr>
        <w:footnoteReference w:id="25"/>
      </w:r>
      <w:r w:rsidRPr="00D20F08">
        <w:rPr>
          <w:rFonts w:ascii="Times" w:hAnsi="Times"/>
        </w:rPr>
        <w:t>, the ECtHR noted that the right to be presumed innocent in Article 6</w:t>
      </w:r>
      <w:r w:rsidR="00E07644">
        <w:rPr>
          <w:rFonts w:ascii="Times" w:hAnsi="Times"/>
        </w:rPr>
        <w:t>(</w:t>
      </w:r>
      <w:r w:rsidRPr="00D20F08">
        <w:rPr>
          <w:rFonts w:ascii="Times" w:hAnsi="Times"/>
        </w:rPr>
        <w:t>2</w:t>
      </w:r>
      <w:r w:rsidR="00E07644">
        <w:rPr>
          <w:rFonts w:ascii="Times" w:hAnsi="Times"/>
        </w:rPr>
        <w:t>)</w:t>
      </w:r>
      <w:r w:rsidRPr="00D20F08">
        <w:rPr>
          <w:rFonts w:ascii="Times" w:hAnsi="Times"/>
        </w:rPr>
        <w:t xml:space="preserve"> is a ‘</w:t>
      </w:r>
      <w:r w:rsidRPr="00D20F08">
        <w:rPr>
          <w:rStyle w:val="sb8d990e2"/>
          <w:rFonts w:ascii="Times" w:hAnsi="Times" w:cs="Arial"/>
          <w:color w:val="000000"/>
          <w:shd w:val="clear" w:color="auto" w:fill="FFFFFF"/>
        </w:rPr>
        <w:t>specific application’ of the general right to fair trial in Article 6</w:t>
      </w:r>
      <w:r w:rsidR="00E07644">
        <w:rPr>
          <w:rStyle w:val="sb8d990e2"/>
          <w:rFonts w:ascii="Times" w:hAnsi="Times" w:cs="Arial"/>
          <w:color w:val="000000"/>
          <w:shd w:val="clear" w:color="auto" w:fill="FFFFFF"/>
        </w:rPr>
        <w:t>(</w:t>
      </w:r>
      <w:r w:rsidRPr="00D20F08">
        <w:rPr>
          <w:rStyle w:val="sb8d990e2"/>
          <w:rFonts w:ascii="Times" w:hAnsi="Times" w:cs="Arial"/>
          <w:color w:val="000000"/>
          <w:shd w:val="clear" w:color="auto" w:fill="FFFFFF"/>
        </w:rPr>
        <w:t>1</w:t>
      </w:r>
      <w:r w:rsidR="00E07644">
        <w:rPr>
          <w:rStyle w:val="sb8d990e2"/>
          <w:rFonts w:ascii="Times" w:hAnsi="Times" w:cs="Arial"/>
          <w:color w:val="000000"/>
          <w:shd w:val="clear" w:color="auto" w:fill="FFFFFF"/>
        </w:rPr>
        <w:t>)</w:t>
      </w:r>
      <w:r w:rsidRPr="00D20F08">
        <w:rPr>
          <w:rStyle w:val="sb8d990e2"/>
          <w:rFonts w:ascii="Times" w:hAnsi="Times" w:cs="Arial"/>
          <w:color w:val="000000"/>
          <w:shd w:val="clear" w:color="auto" w:fill="FFFFFF"/>
        </w:rPr>
        <w:t xml:space="preserve">. </w:t>
      </w:r>
      <w:r w:rsidR="000B0090">
        <w:rPr>
          <w:rStyle w:val="sb8d990e2"/>
          <w:rFonts w:ascii="Times" w:hAnsi="Times" w:cs="Arial"/>
          <w:color w:val="000000"/>
          <w:shd w:val="clear" w:color="auto" w:fill="FFFFFF"/>
        </w:rPr>
        <w:t>But n</w:t>
      </w:r>
      <w:r w:rsidRPr="00D20F08">
        <w:rPr>
          <w:rStyle w:val="sb8d990e2"/>
          <w:rFonts w:ascii="Times" w:hAnsi="Times" w:cs="Arial"/>
          <w:color w:val="000000"/>
          <w:shd w:val="clear" w:color="auto" w:fill="FFFFFF"/>
        </w:rPr>
        <w:t xml:space="preserve">otwithstanding the Court’s acceptance of the principle that breach of the presumption of innocence renders a trial unfair, the ECtHR has never held that transfer of the legal burden </w:t>
      </w:r>
      <w:r>
        <w:rPr>
          <w:rStyle w:val="sb8d990e2"/>
          <w:rFonts w:ascii="Times" w:hAnsi="Times" w:cs="Arial"/>
          <w:color w:val="000000"/>
          <w:shd w:val="clear" w:color="auto" w:fill="FFFFFF"/>
        </w:rPr>
        <w:lastRenderedPageBreak/>
        <w:t>of itself renders a trial unfair</w:t>
      </w:r>
      <w:r w:rsidRPr="00D20F08">
        <w:rPr>
          <w:rStyle w:val="sb8d990e2"/>
          <w:rFonts w:ascii="Times" w:hAnsi="Times" w:cs="Arial"/>
          <w:color w:val="000000"/>
          <w:shd w:val="clear" w:color="auto" w:fill="FFFFFF"/>
        </w:rPr>
        <w:t xml:space="preserve">. </w:t>
      </w:r>
      <w:r w:rsidR="000B0090" w:rsidRPr="000B0090">
        <w:rPr>
          <w:rStyle w:val="sb8d990e2"/>
          <w:rFonts w:ascii="Times" w:hAnsi="Times" w:cs="Arial"/>
          <w:color w:val="000000"/>
          <w:shd w:val="clear" w:color="auto" w:fill="FFFFFF"/>
        </w:rPr>
        <w:t>Its</w:t>
      </w:r>
      <w:r w:rsidRPr="000B0090">
        <w:rPr>
          <w:rStyle w:val="sb8d990e2"/>
          <w:rFonts w:ascii="Times" w:hAnsi="Times" w:cs="Arial"/>
          <w:color w:val="000000"/>
          <w:shd w:val="clear" w:color="auto" w:fill="FFFFFF"/>
        </w:rPr>
        <w:t xml:space="preserve"> </w:t>
      </w:r>
      <w:r w:rsidRPr="000B0090">
        <w:rPr>
          <w:rFonts w:ascii="Times" w:hAnsi="Times"/>
        </w:rPr>
        <w:t xml:space="preserve">caselaw </w:t>
      </w:r>
      <w:r w:rsidR="008E585B">
        <w:rPr>
          <w:rFonts w:ascii="Times" w:hAnsi="Times"/>
        </w:rPr>
        <w:t>has not</w:t>
      </w:r>
      <w:r w:rsidR="00E07644">
        <w:rPr>
          <w:rFonts w:ascii="Times" w:hAnsi="Times"/>
        </w:rPr>
        <w:t xml:space="preserve"> </w:t>
      </w:r>
      <w:r w:rsidRPr="000B0090">
        <w:rPr>
          <w:rFonts w:ascii="Times" w:hAnsi="Times"/>
        </w:rPr>
        <w:t xml:space="preserve">expressly acknowledged any </w:t>
      </w:r>
      <w:r w:rsidR="00E07644">
        <w:rPr>
          <w:rFonts w:ascii="Times" w:hAnsi="Times"/>
        </w:rPr>
        <w:t xml:space="preserve">critical </w:t>
      </w:r>
      <w:r w:rsidRPr="000B0090">
        <w:rPr>
          <w:rFonts w:ascii="Times" w:hAnsi="Times"/>
        </w:rPr>
        <w:t>distinction between legal and evidential burdens. Instead, the Court has referred to presumptions of law and fact</w:t>
      </w:r>
      <w:r w:rsidR="008E585B">
        <w:rPr>
          <w:rFonts w:ascii="Times" w:hAnsi="Times"/>
        </w:rPr>
        <w:t xml:space="preserve"> as being permissible</w:t>
      </w:r>
      <w:r w:rsidRPr="000B0090">
        <w:rPr>
          <w:rFonts w:ascii="Times" w:hAnsi="Times"/>
        </w:rPr>
        <w:t xml:space="preserve">, </w:t>
      </w:r>
      <w:r w:rsidR="008E585B">
        <w:rPr>
          <w:rFonts w:ascii="Times" w:hAnsi="Times"/>
        </w:rPr>
        <w:t>subject to</w:t>
      </w:r>
      <w:r w:rsidRPr="000B0090">
        <w:rPr>
          <w:rFonts w:ascii="Times" w:hAnsi="Times"/>
        </w:rPr>
        <w:t xml:space="preserve"> the necessity to have reasonable limits on </w:t>
      </w:r>
      <w:r w:rsidR="00E07644">
        <w:rPr>
          <w:rFonts w:ascii="Times" w:hAnsi="Times"/>
        </w:rPr>
        <w:t xml:space="preserve">such </w:t>
      </w:r>
      <w:r w:rsidRPr="000B0090">
        <w:rPr>
          <w:rFonts w:ascii="Times" w:hAnsi="Times"/>
        </w:rPr>
        <w:t>presumptions</w:t>
      </w:r>
      <w:r w:rsidR="00331BD5">
        <w:rPr>
          <w:rFonts w:ascii="Times" w:hAnsi="Times"/>
        </w:rPr>
        <w:t xml:space="preserve"> and to maintain the ‘rights of the defence’</w:t>
      </w:r>
      <w:r w:rsidRPr="000B0090">
        <w:rPr>
          <w:rFonts w:ascii="Times" w:hAnsi="Times"/>
        </w:rPr>
        <w:t xml:space="preserve">. </w:t>
      </w:r>
    </w:p>
    <w:p w14:paraId="265C2D1A" w14:textId="77777777" w:rsidR="00331BD5" w:rsidRPr="00331BD5" w:rsidRDefault="00331BD5" w:rsidP="00335BBC">
      <w:pPr>
        <w:pStyle w:val="ListParagraph"/>
        <w:spacing w:line="360" w:lineRule="auto"/>
        <w:rPr>
          <w:rFonts w:ascii="Times" w:hAnsi="Times"/>
        </w:rPr>
      </w:pPr>
    </w:p>
    <w:p w14:paraId="1F58C3F2" w14:textId="0B5AB0E1" w:rsidR="00331BD5" w:rsidRPr="008E585B" w:rsidRDefault="00331BD5" w:rsidP="00335BBC">
      <w:pPr>
        <w:pStyle w:val="ListParagraph"/>
        <w:numPr>
          <w:ilvl w:val="0"/>
          <w:numId w:val="2"/>
        </w:numPr>
        <w:spacing w:line="360" w:lineRule="auto"/>
        <w:jc w:val="both"/>
        <w:rPr>
          <w:rFonts w:ascii="Times" w:hAnsi="Times"/>
          <w:i/>
          <w:iCs/>
        </w:rPr>
      </w:pPr>
      <w:r w:rsidRPr="000B0090">
        <w:rPr>
          <w:rFonts w:ascii="Times" w:hAnsi="Times"/>
        </w:rPr>
        <w:t xml:space="preserve">It is not clear how a provision which shifts the legal burden in respect of the </w:t>
      </w:r>
      <w:r w:rsidRPr="000B0090">
        <w:rPr>
          <w:rFonts w:ascii="Times" w:hAnsi="Times"/>
          <w:i/>
          <w:iCs/>
        </w:rPr>
        <w:t>mens rea</w:t>
      </w:r>
      <w:r w:rsidRPr="000B0090">
        <w:rPr>
          <w:rFonts w:ascii="Times" w:hAnsi="Times"/>
        </w:rPr>
        <w:t xml:space="preserve"> of an offence can be said to maintain the ‘rights of the defence’</w:t>
      </w:r>
      <w:r w:rsidR="008E585B">
        <w:rPr>
          <w:rFonts w:ascii="Times" w:hAnsi="Times"/>
        </w:rPr>
        <w:t>,</w:t>
      </w:r>
      <w:r w:rsidRPr="000B0090">
        <w:rPr>
          <w:rFonts w:ascii="Times" w:hAnsi="Times"/>
        </w:rPr>
        <w:t xml:space="preserve"> if the result is a conviction notwithstanding a doubt remaining about guilt. Such an outcome would appear to </w:t>
      </w:r>
      <w:r w:rsidR="00187946">
        <w:rPr>
          <w:rFonts w:ascii="Times" w:hAnsi="Times"/>
        </w:rPr>
        <w:t xml:space="preserve">be </w:t>
      </w:r>
      <w:r w:rsidRPr="000B0090">
        <w:rPr>
          <w:rFonts w:ascii="Times" w:hAnsi="Times"/>
        </w:rPr>
        <w:t xml:space="preserve">contrary to the presumption of innocence and thus </w:t>
      </w:r>
      <w:r>
        <w:rPr>
          <w:rFonts w:ascii="Times" w:hAnsi="Times"/>
        </w:rPr>
        <w:t>in</w:t>
      </w:r>
      <w:r w:rsidRPr="000B0090">
        <w:rPr>
          <w:rFonts w:ascii="Times" w:hAnsi="Times"/>
        </w:rPr>
        <w:t xml:space="preserve"> breach of Article 6(2). </w:t>
      </w:r>
      <w:r w:rsidRPr="008E585B">
        <w:rPr>
          <w:rFonts w:ascii="Times" w:hAnsi="Times"/>
        </w:rPr>
        <w:t xml:space="preserve">It is worth noting the comments of Lord Hoffman in </w:t>
      </w:r>
      <w:r w:rsidRPr="008E585B">
        <w:rPr>
          <w:rFonts w:ascii="Times" w:hAnsi="Times"/>
          <w:i/>
          <w:iCs/>
        </w:rPr>
        <w:t>R v G</w:t>
      </w:r>
      <w:r w:rsidR="00C80E26">
        <w:rPr>
          <w:rStyle w:val="FootnoteReference"/>
          <w:rFonts w:ascii="Times" w:hAnsi="Times"/>
          <w:i/>
          <w:iCs/>
        </w:rPr>
        <w:footnoteReference w:id="26"/>
      </w:r>
      <w:r w:rsidRPr="008E585B">
        <w:rPr>
          <w:rFonts w:ascii="Times" w:hAnsi="Times"/>
        </w:rPr>
        <w:t>, in respect of the ‘reasonable limits’ test referred to in</w:t>
      </w:r>
      <w:r w:rsidRPr="008E585B">
        <w:rPr>
          <w:rFonts w:ascii="Times" w:hAnsi="Times"/>
          <w:i/>
          <w:iCs/>
        </w:rPr>
        <w:t xml:space="preserve"> Salabiaku</w:t>
      </w:r>
      <w:r w:rsidRPr="008E585B">
        <w:rPr>
          <w:rFonts w:ascii="Times" w:hAnsi="Times"/>
        </w:rPr>
        <w:t>:</w:t>
      </w:r>
    </w:p>
    <w:p w14:paraId="2B61E65E" w14:textId="77777777" w:rsidR="00331BD5" w:rsidRPr="00E1409F" w:rsidRDefault="00331BD5" w:rsidP="00335BBC">
      <w:pPr>
        <w:pStyle w:val="ListParagraph"/>
        <w:spacing w:line="360" w:lineRule="auto"/>
        <w:rPr>
          <w:rFonts w:ascii="Times" w:hAnsi="Times"/>
          <w:i/>
          <w:iCs/>
        </w:rPr>
      </w:pPr>
    </w:p>
    <w:p w14:paraId="75546533" w14:textId="11E0E38F" w:rsidR="000B0090" w:rsidRPr="00DE43CD" w:rsidRDefault="00331BD5" w:rsidP="00335BBC">
      <w:pPr>
        <w:pStyle w:val="ListParagraph"/>
        <w:spacing w:line="360" w:lineRule="auto"/>
        <w:jc w:val="both"/>
        <w:rPr>
          <w:rFonts w:ascii="Times" w:hAnsi="Times"/>
          <w:i/>
          <w:iCs/>
          <w:color w:val="000000" w:themeColor="text1"/>
        </w:rPr>
      </w:pPr>
      <w:r w:rsidRPr="00D62F13">
        <w:rPr>
          <w:rFonts w:ascii="Times" w:hAnsi="Times"/>
          <w:i/>
          <w:iCs/>
          <w:color w:val="000000" w:themeColor="text1"/>
        </w:rPr>
        <w:t>‘No one has yet discovered what this paragraph means but your lordships were referred to a wealth of academic learning w</w:t>
      </w:r>
      <w:r w:rsidR="00C207C6">
        <w:rPr>
          <w:rFonts w:ascii="Times" w:hAnsi="Times"/>
          <w:i/>
          <w:iCs/>
          <w:color w:val="000000" w:themeColor="text1"/>
        </w:rPr>
        <w:t>hich</w:t>
      </w:r>
      <w:r w:rsidRPr="00D62F13">
        <w:rPr>
          <w:rFonts w:ascii="Times" w:hAnsi="Times"/>
          <w:i/>
          <w:iCs/>
          <w:color w:val="000000" w:themeColor="text1"/>
        </w:rPr>
        <w:t xml:space="preserve"> tries to solve the riddle… I think that judges and academic writers have picked over the carcass of this unfortunate case so many times in attempts to find some intelligible </w:t>
      </w:r>
      <w:r w:rsidR="00104ADC">
        <w:rPr>
          <w:rFonts w:ascii="Times" w:hAnsi="Times"/>
          <w:i/>
          <w:iCs/>
          <w:color w:val="000000" w:themeColor="text1"/>
        </w:rPr>
        <w:t>meat</w:t>
      </w:r>
      <w:r w:rsidR="00104ADC" w:rsidRPr="00D62F13">
        <w:rPr>
          <w:rFonts w:ascii="Times" w:hAnsi="Times"/>
          <w:i/>
          <w:iCs/>
          <w:color w:val="000000" w:themeColor="text1"/>
        </w:rPr>
        <w:t xml:space="preserve"> </w:t>
      </w:r>
      <w:r w:rsidRPr="00D62F13">
        <w:rPr>
          <w:rFonts w:ascii="Times" w:hAnsi="Times"/>
          <w:i/>
          <w:iCs/>
          <w:color w:val="000000" w:themeColor="text1"/>
        </w:rPr>
        <w:t>on its bones that the time has come to call a halt.’</w:t>
      </w:r>
      <w:r w:rsidRPr="00DE43CD">
        <w:rPr>
          <w:rFonts w:ascii="Times" w:hAnsi="Times"/>
          <w:i/>
          <w:iCs/>
        </w:rPr>
        <w:t xml:space="preserve"> </w:t>
      </w:r>
    </w:p>
    <w:p w14:paraId="203C3C6B" w14:textId="77777777" w:rsidR="007A6D1E" w:rsidRPr="00D62F13" w:rsidRDefault="007A6D1E" w:rsidP="00335BBC">
      <w:pPr>
        <w:spacing w:line="360" w:lineRule="auto"/>
        <w:jc w:val="both"/>
        <w:rPr>
          <w:rFonts w:ascii="Times" w:hAnsi="Times"/>
          <w:i/>
          <w:iCs/>
        </w:rPr>
      </w:pPr>
    </w:p>
    <w:p w14:paraId="1EE538F2" w14:textId="2BCADD54" w:rsidR="00C207C6" w:rsidRPr="003D0E43" w:rsidRDefault="008E585B" w:rsidP="00335BBC">
      <w:pPr>
        <w:pStyle w:val="ListParagraph"/>
        <w:numPr>
          <w:ilvl w:val="0"/>
          <w:numId w:val="2"/>
        </w:numPr>
        <w:spacing w:line="360" w:lineRule="auto"/>
        <w:jc w:val="both"/>
        <w:rPr>
          <w:rFonts w:ascii="Times" w:hAnsi="Times"/>
          <w:i/>
          <w:iCs/>
        </w:rPr>
      </w:pPr>
      <w:r>
        <w:rPr>
          <w:rStyle w:val="sb8d990e2"/>
          <w:rFonts w:ascii="Times" w:hAnsi="Times" w:cs="Arial"/>
          <w:color w:val="000000"/>
          <w:shd w:val="clear" w:color="auto" w:fill="FFFFFF"/>
        </w:rPr>
        <w:t>The</w:t>
      </w:r>
      <w:r w:rsidR="00E07644">
        <w:rPr>
          <w:rStyle w:val="sb8d990e2"/>
          <w:rFonts w:ascii="Times" w:hAnsi="Times" w:cs="Arial"/>
          <w:color w:val="000000"/>
          <w:shd w:val="clear" w:color="auto" w:fill="FFFFFF"/>
        </w:rPr>
        <w:t xml:space="preserve"> </w:t>
      </w:r>
      <w:r>
        <w:rPr>
          <w:rStyle w:val="sb8d990e2"/>
          <w:rFonts w:ascii="Times" w:hAnsi="Times" w:cs="Arial"/>
          <w:color w:val="000000"/>
          <w:shd w:val="clear" w:color="auto" w:fill="FFFFFF"/>
        </w:rPr>
        <w:t>presumptions</w:t>
      </w:r>
      <w:r w:rsidR="007A6D1E">
        <w:rPr>
          <w:rStyle w:val="sb8d990e2"/>
          <w:rFonts w:ascii="Times" w:hAnsi="Times" w:cs="Arial"/>
          <w:color w:val="000000"/>
          <w:shd w:val="clear" w:color="auto" w:fill="FFFFFF"/>
        </w:rPr>
        <w:t xml:space="preserve"> under consideration</w:t>
      </w:r>
      <w:r w:rsidR="00187946">
        <w:rPr>
          <w:rStyle w:val="sb8d990e2"/>
          <w:rFonts w:ascii="Times" w:hAnsi="Times" w:cs="Arial"/>
          <w:color w:val="000000"/>
          <w:shd w:val="clear" w:color="auto" w:fill="FFFFFF"/>
        </w:rPr>
        <w:t xml:space="preserve"> in</w:t>
      </w:r>
      <w:r w:rsidR="007A6D1E">
        <w:rPr>
          <w:rStyle w:val="sb8d990e2"/>
          <w:rFonts w:ascii="Times" w:hAnsi="Times" w:cs="Arial"/>
          <w:color w:val="000000"/>
          <w:shd w:val="clear" w:color="auto" w:fill="FFFFFF"/>
        </w:rPr>
        <w:t xml:space="preserve"> </w:t>
      </w:r>
      <w:r>
        <w:rPr>
          <w:rStyle w:val="sb8d990e2"/>
          <w:rFonts w:ascii="Times" w:hAnsi="Times" w:cs="Arial"/>
          <w:color w:val="000000"/>
          <w:shd w:val="clear" w:color="auto" w:fill="FFFFFF"/>
        </w:rPr>
        <w:t>the ECtHR caselaw have been</w:t>
      </w:r>
      <w:r w:rsidR="007A6D1E">
        <w:rPr>
          <w:rStyle w:val="sb8d990e2"/>
          <w:rFonts w:ascii="Times" w:hAnsi="Times" w:cs="Arial"/>
          <w:color w:val="000000"/>
          <w:shd w:val="clear" w:color="auto" w:fill="FFFFFF"/>
        </w:rPr>
        <w:t xml:space="preserve"> mainly regulatory or minor in nature</w:t>
      </w:r>
      <w:r w:rsidR="007A6D1E">
        <w:rPr>
          <w:rStyle w:val="FootnoteReference"/>
          <w:rFonts w:ascii="Times" w:hAnsi="Times" w:cs="Arial"/>
          <w:color w:val="000000"/>
          <w:shd w:val="clear" w:color="auto" w:fill="FFFFFF"/>
        </w:rPr>
        <w:footnoteReference w:id="27"/>
      </w:r>
      <w:r w:rsidR="007A6D1E">
        <w:rPr>
          <w:rStyle w:val="sb8d990e2"/>
          <w:rFonts w:ascii="Times" w:hAnsi="Times" w:cs="Arial"/>
          <w:color w:val="000000"/>
          <w:shd w:val="clear" w:color="auto" w:fill="FFFFFF"/>
        </w:rPr>
        <w:t xml:space="preserve">. However, in the early 1990’s, the European Commission of Human Rights rejected the admissibility of complaints about the transfer of the legal burden in respect of the both </w:t>
      </w:r>
      <w:r w:rsidR="00187946">
        <w:rPr>
          <w:rStyle w:val="sb8d990e2"/>
          <w:rFonts w:ascii="Times" w:hAnsi="Times" w:cs="Arial"/>
          <w:color w:val="000000"/>
          <w:shd w:val="clear" w:color="auto" w:fill="FFFFFF"/>
        </w:rPr>
        <w:t xml:space="preserve">the </w:t>
      </w:r>
      <w:r w:rsidR="007A6D1E">
        <w:rPr>
          <w:rStyle w:val="sb8d990e2"/>
          <w:rFonts w:ascii="Times" w:hAnsi="Times" w:cs="Arial"/>
          <w:color w:val="000000"/>
          <w:shd w:val="clear" w:color="auto" w:fill="FFFFFF"/>
        </w:rPr>
        <w:t>insanity defence</w:t>
      </w:r>
      <w:r w:rsidR="007A6D1E">
        <w:rPr>
          <w:rStyle w:val="FootnoteReference"/>
          <w:rFonts w:ascii="Times" w:hAnsi="Times" w:cs="Arial"/>
          <w:color w:val="000000"/>
          <w:shd w:val="clear" w:color="auto" w:fill="FFFFFF"/>
        </w:rPr>
        <w:footnoteReference w:id="28"/>
      </w:r>
      <w:r w:rsidR="007A6D1E">
        <w:rPr>
          <w:rStyle w:val="sb8d990e2"/>
          <w:rFonts w:ascii="Times" w:hAnsi="Times" w:cs="Arial"/>
          <w:color w:val="000000"/>
          <w:shd w:val="clear" w:color="auto" w:fill="FFFFFF"/>
        </w:rPr>
        <w:t xml:space="preserve"> and diminished responsibility</w:t>
      </w:r>
      <w:r w:rsidR="007A6D1E">
        <w:rPr>
          <w:rStyle w:val="FootnoteReference"/>
          <w:rFonts w:ascii="Times" w:hAnsi="Times" w:cs="Arial"/>
          <w:color w:val="000000"/>
          <w:shd w:val="clear" w:color="auto" w:fill="FFFFFF"/>
        </w:rPr>
        <w:footnoteReference w:id="29"/>
      </w:r>
      <w:r w:rsidR="007A6D1E">
        <w:rPr>
          <w:rStyle w:val="sb8d990e2"/>
          <w:rFonts w:ascii="Times" w:hAnsi="Times" w:cs="Arial"/>
          <w:color w:val="000000"/>
          <w:shd w:val="clear" w:color="auto" w:fill="FFFFFF"/>
        </w:rPr>
        <w:t xml:space="preserve">, albeit with limited analysis of the issues arising. </w:t>
      </w:r>
    </w:p>
    <w:p w14:paraId="6C1FA626" w14:textId="77777777" w:rsidR="007A6D1E" w:rsidRPr="000D2DFE" w:rsidRDefault="007A6D1E" w:rsidP="00335BBC">
      <w:pPr>
        <w:pStyle w:val="ListParagraph"/>
        <w:spacing w:line="360" w:lineRule="auto"/>
        <w:ind w:left="360"/>
        <w:jc w:val="both"/>
        <w:rPr>
          <w:rStyle w:val="sb8d990e2"/>
          <w:rFonts w:ascii="Times" w:hAnsi="Times"/>
          <w:i/>
          <w:iCs/>
        </w:rPr>
      </w:pPr>
    </w:p>
    <w:p w14:paraId="1535E9FB" w14:textId="3B7365D4" w:rsidR="007A6D1E" w:rsidRPr="00D62F13" w:rsidRDefault="007A6D1E" w:rsidP="00335BBC">
      <w:pPr>
        <w:pStyle w:val="ListParagraph"/>
        <w:numPr>
          <w:ilvl w:val="0"/>
          <w:numId w:val="2"/>
        </w:numPr>
        <w:spacing w:line="360" w:lineRule="auto"/>
        <w:jc w:val="both"/>
        <w:rPr>
          <w:rFonts w:ascii="Times" w:hAnsi="Times"/>
          <w:i/>
          <w:iCs/>
        </w:rPr>
      </w:pPr>
      <w:r>
        <w:rPr>
          <w:rStyle w:val="sb8d990e2"/>
          <w:rFonts w:ascii="Times" w:hAnsi="Times" w:cs="Arial"/>
          <w:color w:val="000000"/>
          <w:shd w:val="clear" w:color="auto" w:fill="FFFFFF"/>
        </w:rPr>
        <w:t xml:space="preserve">The ECtHR </w:t>
      </w:r>
      <w:r w:rsidR="000B0090">
        <w:rPr>
          <w:rStyle w:val="sb8d990e2"/>
          <w:rFonts w:ascii="Times" w:hAnsi="Times" w:cs="Arial"/>
          <w:color w:val="000000"/>
          <w:shd w:val="clear" w:color="auto" w:fill="FFFFFF"/>
        </w:rPr>
        <w:t xml:space="preserve">does not review </w:t>
      </w:r>
      <w:r w:rsidR="008E585B">
        <w:rPr>
          <w:rStyle w:val="sb8d990e2"/>
          <w:rFonts w:ascii="Times" w:hAnsi="Times" w:cs="Arial"/>
          <w:color w:val="000000"/>
          <w:shd w:val="clear" w:color="auto" w:fill="FFFFFF"/>
        </w:rPr>
        <w:t xml:space="preserve">the </w:t>
      </w:r>
      <w:r w:rsidR="000B0090">
        <w:rPr>
          <w:rStyle w:val="sb8d990e2"/>
          <w:rFonts w:ascii="Times" w:hAnsi="Times" w:cs="Arial"/>
          <w:color w:val="000000"/>
          <w:shd w:val="clear" w:color="auto" w:fill="FFFFFF"/>
        </w:rPr>
        <w:t>legislation</w:t>
      </w:r>
      <w:r w:rsidR="00E07644">
        <w:rPr>
          <w:rStyle w:val="sb8d990e2"/>
          <w:rFonts w:ascii="Times" w:hAnsi="Times" w:cs="Arial"/>
          <w:color w:val="000000"/>
          <w:shd w:val="clear" w:color="auto" w:fill="FFFFFF"/>
        </w:rPr>
        <w:t xml:space="preserve"> which shifts the burden</w:t>
      </w:r>
      <w:r w:rsidR="008E585B">
        <w:rPr>
          <w:rStyle w:val="sb8d990e2"/>
          <w:rFonts w:ascii="Times" w:hAnsi="Times" w:cs="Arial"/>
          <w:color w:val="000000"/>
          <w:shd w:val="clear" w:color="auto" w:fill="FFFFFF"/>
        </w:rPr>
        <w:t>,</w:t>
      </w:r>
      <w:r w:rsidR="008E585B">
        <w:rPr>
          <w:rStyle w:val="FootnoteReference"/>
          <w:rFonts w:ascii="Times" w:hAnsi="Times" w:cs="Arial"/>
          <w:color w:val="000000"/>
          <w:shd w:val="clear" w:color="auto" w:fill="FFFFFF"/>
        </w:rPr>
        <w:footnoteReference w:id="30"/>
      </w:r>
      <w:r w:rsidR="000B0090">
        <w:rPr>
          <w:rStyle w:val="sb8d990e2"/>
          <w:rFonts w:ascii="Times" w:hAnsi="Times" w:cs="Arial"/>
          <w:color w:val="000000"/>
          <w:shd w:val="clear" w:color="auto" w:fill="FFFFFF"/>
        </w:rPr>
        <w:t xml:space="preserve"> but </w:t>
      </w:r>
      <w:r w:rsidR="00E07644">
        <w:rPr>
          <w:rStyle w:val="sb8d990e2"/>
          <w:rFonts w:ascii="Times" w:hAnsi="Times" w:cs="Arial"/>
          <w:color w:val="000000"/>
          <w:shd w:val="clear" w:color="auto" w:fill="FFFFFF"/>
        </w:rPr>
        <w:t xml:space="preserve">instead </w:t>
      </w:r>
      <w:r>
        <w:rPr>
          <w:rFonts w:ascii="Times" w:hAnsi="Times"/>
        </w:rPr>
        <w:t>look</w:t>
      </w:r>
      <w:r w:rsidR="000B0090">
        <w:rPr>
          <w:rFonts w:ascii="Times" w:hAnsi="Times"/>
        </w:rPr>
        <w:t>s</w:t>
      </w:r>
      <w:r>
        <w:rPr>
          <w:rFonts w:ascii="Times" w:hAnsi="Times"/>
        </w:rPr>
        <w:t xml:space="preserve"> to the </w:t>
      </w:r>
      <w:r w:rsidR="008E585B">
        <w:rPr>
          <w:rFonts w:ascii="Times" w:hAnsi="Times"/>
        </w:rPr>
        <w:t xml:space="preserve">full </w:t>
      </w:r>
      <w:r>
        <w:rPr>
          <w:rFonts w:ascii="Times" w:hAnsi="Times"/>
        </w:rPr>
        <w:t xml:space="preserve">facts of </w:t>
      </w:r>
      <w:r w:rsidR="00E07644">
        <w:rPr>
          <w:rFonts w:ascii="Times" w:hAnsi="Times"/>
        </w:rPr>
        <w:t>the</w:t>
      </w:r>
      <w:r>
        <w:rPr>
          <w:rFonts w:ascii="Times" w:hAnsi="Times"/>
        </w:rPr>
        <w:t xml:space="preserve"> case to a</w:t>
      </w:r>
      <w:r w:rsidR="008E585B">
        <w:rPr>
          <w:rFonts w:ascii="Times" w:hAnsi="Times"/>
        </w:rPr>
        <w:t>ssess</w:t>
      </w:r>
      <w:r>
        <w:rPr>
          <w:rFonts w:ascii="Times" w:hAnsi="Times"/>
        </w:rPr>
        <w:t xml:space="preserve"> whether </w:t>
      </w:r>
      <w:r w:rsidR="008E585B">
        <w:rPr>
          <w:rFonts w:ascii="Times" w:hAnsi="Times"/>
        </w:rPr>
        <w:t xml:space="preserve">or not </w:t>
      </w:r>
      <w:r>
        <w:rPr>
          <w:rFonts w:ascii="Times" w:hAnsi="Times"/>
        </w:rPr>
        <w:t xml:space="preserve">the presumption of innocence </w:t>
      </w:r>
      <w:r w:rsidR="00E07644">
        <w:rPr>
          <w:rFonts w:ascii="Times" w:hAnsi="Times"/>
        </w:rPr>
        <w:t>was substantially</w:t>
      </w:r>
      <w:r>
        <w:rPr>
          <w:rFonts w:ascii="Times" w:hAnsi="Times"/>
        </w:rPr>
        <w:t xml:space="preserve"> respected</w:t>
      </w:r>
      <w:r w:rsidR="000B0090">
        <w:rPr>
          <w:rFonts w:ascii="Times" w:hAnsi="Times"/>
        </w:rPr>
        <w:t xml:space="preserve"> in </w:t>
      </w:r>
      <w:r w:rsidR="008E585B">
        <w:rPr>
          <w:rFonts w:ascii="Times" w:hAnsi="Times"/>
        </w:rPr>
        <w:t>the trial</w:t>
      </w:r>
      <w:r>
        <w:rPr>
          <w:rFonts w:ascii="Times" w:hAnsi="Times"/>
        </w:rPr>
        <w:t>. It has on occasion</w:t>
      </w:r>
      <w:r w:rsidR="00C207C6">
        <w:rPr>
          <w:rStyle w:val="FootnoteReference"/>
          <w:rFonts w:ascii="Times" w:hAnsi="Times"/>
        </w:rPr>
        <w:footnoteReference w:id="31"/>
      </w:r>
      <w:r w:rsidRPr="00695914">
        <w:rPr>
          <w:rFonts w:ascii="Times" w:hAnsi="Times"/>
        </w:rPr>
        <w:t xml:space="preserve"> </w:t>
      </w:r>
      <w:r>
        <w:rPr>
          <w:rFonts w:ascii="Times" w:hAnsi="Times"/>
        </w:rPr>
        <w:t xml:space="preserve">found that the manner in which a trial was </w:t>
      </w:r>
      <w:r w:rsidR="00AB2D47">
        <w:rPr>
          <w:rFonts w:ascii="Times" w:hAnsi="Times"/>
        </w:rPr>
        <w:t>conducted breached</w:t>
      </w:r>
      <w:r>
        <w:rPr>
          <w:rFonts w:ascii="Times" w:hAnsi="Times"/>
        </w:rPr>
        <w:t xml:space="preserve"> the presumption of innocence notwithstanding that the legal burden had ostensibly remained on the </w:t>
      </w:r>
      <w:r w:rsidR="008E585B">
        <w:rPr>
          <w:rFonts w:ascii="Times" w:hAnsi="Times"/>
        </w:rPr>
        <w:t>p</w:t>
      </w:r>
      <w:r>
        <w:rPr>
          <w:rFonts w:ascii="Times" w:hAnsi="Times"/>
        </w:rPr>
        <w:t>rosecution</w:t>
      </w:r>
      <w:r w:rsidR="00E07644">
        <w:rPr>
          <w:rFonts w:ascii="Times" w:hAnsi="Times"/>
        </w:rPr>
        <w:t xml:space="preserve"> at all times</w:t>
      </w:r>
      <w:r>
        <w:rPr>
          <w:rFonts w:ascii="Times" w:hAnsi="Times"/>
        </w:rPr>
        <w:t xml:space="preserve">. However, such a focused </w:t>
      </w:r>
      <w:r>
        <w:rPr>
          <w:rFonts w:ascii="Times" w:hAnsi="Times"/>
        </w:rPr>
        <w:lastRenderedPageBreak/>
        <w:t xml:space="preserve">assessment </w:t>
      </w:r>
      <w:r w:rsidR="008E585B">
        <w:rPr>
          <w:rFonts w:ascii="Times" w:hAnsi="Times"/>
        </w:rPr>
        <w:t>is</w:t>
      </w:r>
      <w:r>
        <w:rPr>
          <w:rFonts w:ascii="Times" w:hAnsi="Times"/>
        </w:rPr>
        <w:t xml:space="preserve"> problematic in terms of drawing conclusions </w:t>
      </w:r>
      <w:r w:rsidR="000B0090">
        <w:rPr>
          <w:rFonts w:ascii="Times" w:hAnsi="Times"/>
        </w:rPr>
        <w:t>at the level of principle</w:t>
      </w:r>
      <w:r w:rsidR="008E585B" w:rsidRPr="008E585B">
        <w:rPr>
          <w:rFonts w:ascii="Times" w:hAnsi="Times"/>
        </w:rPr>
        <w:t xml:space="preserve"> </w:t>
      </w:r>
      <w:r w:rsidR="008E585B">
        <w:rPr>
          <w:rFonts w:ascii="Times" w:hAnsi="Times"/>
        </w:rPr>
        <w:t>about the protection afforded by the Convention</w:t>
      </w:r>
      <w:r>
        <w:rPr>
          <w:rFonts w:ascii="Times" w:hAnsi="Times"/>
        </w:rPr>
        <w:t xml:space="preserve">. </w:t>
      </w:r>
    </w:p>
    <w:p w14:paraId="505E047F" w14:textId="77777777" w:rsidR="007A6D1E" w:rsidRPr="00B67EDF" w:rsidRDefault="007A6D1E" w:rsidP="00335BBC">
      <w:pPr>
        <w:spacing w:line="360" w:lineRule="auto"/>
        <w:rPr>
          <w:rFonts w:ascii="Times" w:hAnsi="Times" w:cs="Open Sans"/>
          <w:color w:val="000000" w:themeColor="text1"/>
        </w:rPr>
      </w:pPr>
    </w:p>
    <w:p w14:paraId="41DF4C76" w14:textId="5CF9DFA9" w:rsidR="007A6D1E" w:rsidRPr="002D5122" w:rsidRDefault="007A6D1E" w:rsidP="00335BBC">
      <w:pPr>
        <w:pStyle w:val="ListParagraph"/>
        <w:numPr>
          <w:ilvl w:val="0"/>
          <w:numId w:val="2"/>
        </w:numPr>
        <w:shd w:val="clear" w:color="auto" w:fill="FFFFFF"/>
        <w:spacing w:after="240" w:line="360" w:lineRule="auto"/>
        <w:jc w:val="both"/>
        <w:rPr>
          <w:rStyle w:val="sb8d990e2"/>
          <w:rFonts w:ascii="Times" w:hAnsi="Times" w:cs="Open Sans"/>
          <w:color w:val="000000" w:themeColor="text1"/>
        </w:rPr>
      </w:pPr>
      <w:r>
        <w:rPr>
          <w:rFonts w:ascii="Times" w:hAnsi="Times" w:cs="Open Sans"/>
          <w:color w:val="000000" w:themeColor="text1"/>
        </w:rPr>
        <w:t xml:space="preserve">The Appellants have highlighted </w:t>
      </w:r>
      <w:r w:rsidRPr="00F107A9">
        <w:rPr>
          <w:rFonts w:ascii="Times" w:hAnsi="Times" w:cs="Open Sans"/>
          <w:color w:val="000000" w:themeColor="text1"/>
        </w:rPr>
        <w:t>the</w:t>
      </w:r>
      <w:r>
        <w:rPr>
          <w:rFonts w:ascii="Times" w:hAnsi="Times" w:cs="Open Sans"/>
          <w:color w:val="000000" w:themeColor="text1"/>
        </w:rPr>
        <w:t xml:space="preserve"> comment of the </w:t>
      </w:r>
      <w:r w:rsidR="00E07644">
        <w:rPr>
          <w:rFonts w:ascii="Times" w:hAnsi="Times" w:cs="Open Sans"/>
          <w:color w:val="000000" w:themeColor="text1"/>
        </w:rPr>
        <w:t>ECtHR</w:t>
      </w:r>
      <w:r>
        <w:rPr>
          <w:rFonts w:ascii="Times" w:hAnsi="Times" w:cs="Open Sans"/>
          <w:color w:val="000000" w:themeColor="text1"/>
        </w:rPr>
        <w:t xml:space="preserve"> in </w:t>
      </w:r>
      <w:r w:rsidRPr="00F107A9">
        <w:rPr>
          <w:rFonts w:ascii="Times" w:hAnsi="Times" w:cs="Open Sans"/>
          <w:i/>
          <w:iCs/>
          <w:color w:val="000000" w:themeColor="text1"/>
        </w:rPr>
        <w:t>G</w:t>
      </w:r>
      <w:r>
        <w:rPr>
          <w:rFonts w:ascii="Times" w:hAnsi="Times" w:cs="Open Sans"/>
          <w:i/>
          <w:iCs/>
          <w:color w:val="000000" w:themeColor="text1"/>
        </w:rPr>
        <w:t>.</w:t>
      </w:r>
      <w:r w:rsidRPr="00F107A9">
        <w:rPr>
          <w:rFonts w:ascii="Times" w:hAnsi="Times" w:cs="Open Sans"/>
          <w:i/>
          <w:iCs/>
          <w:color w:val="000000" w:themeColor="text1"/>
        </w:rPr>
        <w:t>I</w:t>
      </w:r>
      <w:r>
        <w:rPr>
          <w:rFonts w:ascii="Times" w:hAnsi="Times" w:cs="Open Sans"/>
          <w:i/>
          <w:iCs/>
          <w:color w:val="000000" w:themeColor="text1"/>
        </w:rPr>
        <w:t>.</w:t>
      </w:r>
      <w:r w:rsidRPr="00F107A9">
        <w:rPr>
          <w:rFonts w:ascii="Times" w:hAnsi="Times" w:cs="Open Sans"/>
          <w:i/>
          <w:iCs/>
          <w:color w:val="000000" w:themeColor="text1"/>
        </w:rPr>
        <w:t>E</w:t>
      </w:r>
      <w:r>
        <w:rPr>
          <w:rFonts w:ascii="Times" w:hAnsi="Times" w:cs="Open Sans"/>
          <w:i/>
          <w:iCs/>
          <w:color w:val="000000" w:themeColor="text1"/>
        </w:rPr>
        <w:t>.</w:t>
      </w:r>
      <w:r w:rsidRPr="00F107A9">
        <w:rPr>
          <w:rFonts w:ascii="Times" w:hAnsi="Times" w:cs="Open Sans"/>
          <w:i/>
          <w:iCs/>
          <w:color w:val="000000" w:themeColor="text1"/>
        </w:rPr>
        <w:t>M</w:t>
      </w:r>
      <w:r>
        <w:rPr>
          <w:rFonts w:ascii="Times" w:hAnsi="Times" w:cs="Open Sans"/>
          <w:i/>
          <w:iCs/>
          <w:color w:val="000000" w:themeColor="text1"/>
        </w:rPr>
        <w:t>.</w:t>
      </w:r>
      <w:r w:rsidRPr="00F107A9">
        <w:rPr>
          <w:rFonts w:ascii="Times" w:hAnsi="Times" w:cs="Open Sans"/>
          <w:i/>
          <w:iCs/>
          <w:color w:val="000000" w:themeColor="text1"/>
        </w:rPr>
        <w:t xml:space="preserve"> v Italy</w:t>
      </w:r>
      <w:r w:rsidR="006B680A">
        <w:rPr>
          <w:rStyle w:val="FootnoteReference"/>
          <w:rFonts w:ascii="Times" w:hAnsi="Times" w:cs="Open Sans"/>
          <w:i/>
          <w:iCs/>
          <w:color w:val="000000" w:themeColor="text1"/>
        </w:rPr>
        <w:footnoteReference w:id="32"/>
      </w:r>
      <w:r>
        <w:rPr>
          <w:rFonts w:ascii="Times" w:hAnsi="Times" w:cs="Open Sans"/>
          <w:color w:val="000000" w:themeColor="text1"/>
        </w:rPr>
        <w:t xml:space="preserve"> that</w:t>
      </w:r>
      <w:r w:rsidRPr="00F107A9">
        <w:rPr>
          <w:rFonts w:ascii="Times" w:hAnsi="Times" w:cs="Open Sans"/>
          <w:color w:val="000000" w:themeColor="text1"/>
        </w:rPr>
        <w:t xml:space="preserve"> </w:t>
      </w:r>
      <w:r>
        <w:rPr>
          <w:rFonts w:ascii="Times" w:hAnsi="Times" w:cs="Open Sans"/>
          <w:color w:val="000000" w:themeColor="text1"/>
        </w:rPr>
        <w:t xml:space="preserve">the </w:t>
      </w:r>
      <w:r w:rsidRPr="00F107A9">
        <w:rPr>
          <w:rFonts w:ascii="Times" w:hAnsi="Times" w:cs="Open Sans"/>
          <w:i/>
          <w:iCs/>
          <w:color w:val="000000" w:themeColor="text1"/>
        </w:rPr>
        <w:t>‘</w:t>
      </w:r>
      <w:r w:rsidRPr="00F107A9">
        <w:rPr>
          <w:rStyle w:val="sb8d990e2"/>
          <w:rFonts w:ascii="Times" w:hAnsi="Times" w:cs="Arial"/>
          <w:i/>
          <w:iCs/>
          <w:color w:val="000000"/>
          <w:shd w:val="clear" w:color="auto" w:fill="FFFFFF"/>
        </w:rPr>
        <w:t>limits will be overstepped where a presumption has the effect of making it impossible for an individual to exonerate himself from the accusations against him’</w:t>
      </w:r>
      <w:r>
        <w:rPr>
          <w:rStyle w:val="sb8d990e2"/>
          <w:rFonts w:ascii="Times" w:hAnsi="Times" w:cs="Arial"/>
          <w:color w:val="000000"/>
          <w:shd w:val="clear" w:color="auto" w:fill="FFFFFF"/>
        </w:rPr>
        <w:t xml:space="preserve">. This does </w:t>
      </w:r>
      <w:r w:rsidR="00E47B40">
        <w:rPr>
          <w:rStyle w:val="sb8d990e2"/>
          <w:rFonts w:ascii="Times" w:hAnsi="Times" w:cs="Arial"/>
          <w:color w:val="000000"/>
          <w:shd w:val="clear" w:color="auto" w:fill="FFFFFF"/>
        </w:rPr>
        <w:t xml:space="preserve">not </w:t>
      </w:r>
      <w:r>
        <w:rPr>
          <w:rStyle w:val="sb8d990e2"/>
          <w:rFonts w:ascii="Times" w:hAnsi="Times" w:cs="Arial"/>
          <w:color w:val="000000"/>
          <w:shd w:val="clear" w:color="auto" w:fill="FFFFFF"/>
        </w:rPr>
        <w:t xml:space="preserve">appear to have been posited </w:t>
      </w:r>
      <w:r w:rsidR="008E585B">
        <w:rPr>
          <w:rStyle w:val="sb8d990e2"/>
          <w:rFonts w:ascii="Times" w:hAnsi="Times" w:cs="Arial"/>
          <w:color w:val="000000"/>
          <w:shd w:val="clear" w:color="auto" w:fill="FFFFFF"/>
        </w:rPr>
        <w:t xml:space="preserve">by the Court </w:t>
      </w:r>
      <w:r>
        <w:rPr>
          <w:rStyle w:val="sb8d990e2"/>
          <w:rFonts w:ascii="Times" w:hAnsi="Times" w:cs="Arial"/>
          <w:color w:val="000000"/>
          <w:shd w:val="clear" w:color="auto" w:fill="FFFFFF"/>
        </w:rPr>
        <w:t xml:space="preserve">as </w:t>
      </w:r>
      <w:r w:rsidR="00331BD5">
        <w:rPr>
          <w:rStyle w:val="sb8d990e2"/>
          <w:rFonts w:ascii="Times" w:hAnsi="Times" w:cs="Arial"/>
          <w:color w:val="000000"/>
          <w:shd w:val="clear" w:color="auto" w:fill="FFFFFF"/>
        </w:rPr>
        <w:t>a</w:t>
      </w:r>
      <w:r>
        <w:rPr>
          <w:rStyle w:val="sb8d990e2"/>
          <w:rFonts w:ascii="Times" w:hAnsi="Times" w:cs="Arial"/>
          <w:color w:val="000000"/>
          <w:shd w:val="clear" w:color="auto" w:fill="FFFFFF"/>
        </w:rPr>
        <w:t xml:space="preserve"> threshold standard</w:t>
      </w:r>
      <w:r w:rsidR="00E07644">
        <w:rPr>
          <w:rStyle w:val="sb8d990e2"/>
          <w:rFonts w:ascii="Times" w:hAnsi="Times" w:cs="Arial"/>
          <w:color w:val="000000"/>
          <w:shd w:val="clear" w:color="auto" w:fill="FFFFFF"/>
        </w:rPr>
        <w:t>.</w:t>
      </w:r>
      <w:r>
        <w:rPr>
          <w:rStyle w:val="sb8d990e2"/>
          <w:rFonts w:ascii="Times" w:hAnsi="Times" w:cs="Arial"/>
          <w:color w:val="000000"/>
          <w:shd w:val="clear" w:color="auto" w:fill="FFFFFF"/>
        </w:rPr>
        <w:t xml:space="preserve"> </w:t>
      </w:r>
      <w:r w:rsidR="00E07644">
        <w:rPr>
          <w:rStyle w:val="sb8d990e2"/>
          <w:rFonts w:ascii="Times" w:hAnsi="Times" w:cs="Arial"/>
          <w:color w:val="000000"/>
          <w:shd w:val="clear" w:color="auto" w:fill="FFFFFF"/>
        </w:rPr>
        <w:t>R</w:t>
      </w:r>
      <w:r>
        <w:rPr>
          <w:rStyle w:val="sb8d990e2"/>
          <w:rFonts w:ascii="Times" w:hAnsi="Times" w:cs="Arial"/>
          <w:color w:val="000000"/>
          <w:shd w:val="clear" w:color="auto" w:fill="FFFFFF"/>
        </w:rPr>
        <w:t>ather</w:t>
      </w:r>
      <w:r w:rsidR="00E07644">
        <w:rPr>
          <w:rStyle w:val="sb8d990e2"/>
          <w:rFonts w:ascii="Times" w:hAnsi="Times" w:cs="Arial"/>
          <w:color w:val="000000"/>
          <w:shd w:val="clear" w:color="auto" w:fill="FFFFFF"/>
        </w:rPr>
        <w:t>, it was</w:t>
      </w:r>
      <w:r>
        <w:rPr>
          <w:rStyle w:val="sb8d990e2"/>
          <w:rFonts w:ascii="Times" w:hAnsi="Times" w:cs="Arial"/>
          <w:color w:val="000000"/>
          <w:shd w:val="clear" w:color="auto" w:fill="FFFFFF"/>
        </w:rPr>
        <w:t xml:space="preserve"> a </w:t>
      </w:r>
      <w:r w:rsidR="00331BD5">
        <w:rPr>
          <w:rStyle w:val="sb8d990e2"/>
          <w:rFonts w:ascii="Times" w:hAnsi="Times" w:cs="Arial"/>
          <w:color w:val="000000"/>
          <w:shd w:val="clear" w:color="auto" w:fill="FFFFFF"/>
        </w:rPr>
        <w:t>reflection of</w:t>
      </w:r>
      <w:r>
        <w:rPr>
          <w:rStyle w:val="sb8d990e2"/>
          <w:rFonts w:ascii="Times" w:hAnsi="Times" w:cs="Arial"/>
          <w:color w:val="000000"/>
          <w:shd w:val="clear" w:color="auto" w:fill="FFFFFF"/>
        </w:rPr>
        <w:t xml:space="preserve"> the particular facts of th</w:t>
      </w:r>
      <w:r w:rsidR="00331BD5">
        <w:rPr>
          <w:rStyle w:val="sb8d990e2"/>
          <w:rFonts w:ascii="Times" w:hAnsi="Times" w:cs="Arial"/>
          <w:color w:val="000000"/>
          <w:shd w:val="clear" w:color="auto" w:fill="FFFFFF"/>
        </w:rPr>
        <w:t xml:space="preserve">e </w:t>
      </w:r>
      <w:r>
        <w:rPr>
          <w:rStyle w:val="sb8d990e2"/>
          <w:rFonts w:ascii="Times" w:hAnsi="Times" w:cs="Arial"/>
          <w:color w:val="000000"/>
          <w:shd w:val="clear" w:color="auto" w:fill="FFFFFF"/>
        </w:rPr>
        <w:t>case</w:t>
      </w:r>
      <w:r w:rsidR="00331BD5">
        <w:rPr>
          <w:rStyle w:val="sb8d990e2"/>
          <w:rFonts w:ascii="Times" w:hAnsi="Times" w:cs="Arial"/>
          <w:color w:val="000000"/>
          <w:shd w:val="clear" w:color="auto" w:fill="FFFFFF"/>
        </w:rPr>
        <w:t>s cited</w:t>
      </w:r>
      <w:r>
        <w:rPr>
          <w:rStyle w:val="sb8d990e2"/>
          <w:rFonts w:ascii="Times" w:hAnsi="Times" w:cs="Arial"/>
          <w:color w:val="000000"/>
          <w:shd w:val="clear" w:color="auto" w:fill="FFFFFF"/>
        </w:rPr>
        <w:t xml:space="preserve">. </w:t>
      </w:r>
      <w:r w:rsidRPr="00D62F13">
        <w:rPr>
          <w:rStyle w:val="sb8d990e2"/>
          <w:rFonts w:ascii="Times" w:hAnsi="Times" w:cs="Arial"/>
          <w:color w:val="000000"/>
          <w:shd w:val="clear" w:color="auto" w:fill="FFFFFF"/>
        </w:rPr>
        <w:t xml:space="preserve">If such was the threshold, then it would </w:t>
      </w:r>
      <w:r w:rsidR="008E585B">
        <w:rPr>
          <w:rStyle w:val="sb8d990e2"/>
          <w:rFonts w:ascii="Times" w:hAnsi="Times" w:cs="Arial"/>
          <w:color w:val="000000"/>
          <w:shd w:val="clear" w:color="auto" w:fill="FFFFFF"/>
        </w:rPr>
        <w:t xml:space="preserve">be </w:t>
      </w:r>
      <w:r w:rsidRPr="00D62F13">
        <w:rPr>
          <w:rStyle w:val="sb8d990e2"/>
          <w:rFonts w:ascii="Times" w:hAnsi="Times" w:cs="Arial"/>
          <w:color w:val="000000"/>
          <w:shd w:val="clear" w:color="auto" w:fill="FFFFFF"/>
        </w:rPr>
        <w:t>far below the standards applied in this jurisdiction and elsewhere in the common law world.</w:t>
      </w:r>
    </w:p>
    <w:p w14:paraId="261731CA" w14:textId="63BCBF05" w:rsidR="00BC6543" w:rsidRDefault="00E3746D" w:rsidP="00E3746D">
      <w:pPr>
        <w:pStyle w:val="Heading1"/>
      </w:pPr>
      <w:bookmarkStart w:id="9" w:name="_Toc128532595"/>
      <w:r>
        <w:t>Other jurisdictions</w:t>
      </w:r>
      <w:bookmarkEnd w:id="9"/>
    </w:p>
    <w:p w14:paraId="417EB408" w14:textId="77777777" w:rsidR="003779C1" w:rsidRPr="003779C1" w:rsidRDefault="003779C1" w:rsidP="00335BBC">
      <w:pPr>
        <w:spacing w:line="360" w:lineRule="auto"/>
        <w:ind w:left="360"/>
        <w:jc w:val="both"/>
        <w:rPr>
          <w:rFonts w:ascii="Times" w:hAnsi="Times"/>
          <w:b/>
          <w:bCs/>
        </w:rPr>
      </w:pPr>
    </w:p>
    <w:p w14:paraId="18F57052" w14:textId="04BDC11F" w:rsidR="003779C1" w:rsidRPr="003D7189" w:rsidRDefault="00E00303"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F107A9">
        <w:rPr>
          <w:rFonts w:ascii="Times" w:hAnsi="Times" w:cs="Open Sans"/>
          <w:color w:val="000000" w:themeColor="text1"/>
        </w:rPr>
        <w:t xml:space="preserve">Where </w:t>
      </w:r>
      <w:r w:rsidR="003779C1">
        <w:rPr>
          <w:rFonts w:ascii="Times" w:hAnsi="Times" w:cs="Open Sans"/>
          <w:color w:val="000000" w:themeColor="text1"/>
        </w:rPr>
        <w:t>a</w:t>
      </w:r>
      <w:r w:rsidRPr="00F107A9">
        <w:rPr>
          <w:rFonts w:ascii="Times" w:hAnsi="Times" w:cs="Open Sans"/>
          <w:color w:val="000000" w:themeColor="text1"/>
        </w:rPr>
        <w:t xml:space="preserve"> legal burden </w:t>
      </w:r>
      <w:r w:rsidR="003779C1">
        <w:rPr>
          <w:rFonts w:ascii="Times" w:hAnsi="Times" w:cs="Open Sans"/>
          <w:color w:val="000000" w:themeColor="text1"/>
        </w:rPr>
        <w:t xml:space="preserve">is </w:t>
      </w:r>
      <w:r w:rsidRPr="00F107A9">
        <w:rPr>
          <w:rFonts w:ascii="Times" w:hAnsi="Times" w:cs="Open Sans"/>
          <w:color w:val="000000" w:themeColor="text1"/>
        </w:rPr>
        <w:t>placed on an accused to disprove a</w:t>
      </w:r>
      <w:r w:rsidR="003779C1">
        <w:rPr>
          <w:rFonts w:ascii="Times" w:hAnsi="Times" w:cs="Open Sans"/>
          <w:color w:val="000000" w:themeColor="text1"/>
        </w:rPr>
        <w:t>n</w:t>
      </w:r>
      <w:r w:rsidRPr="00F107A9">
        <w:rPr>
          <w:rFonts w:ascii="Times" w:hAnsi="Times" w:cs="Open Sans"/>
          <w:color w:val="000000" w:themeColor="text1"/>
        </w:rPr>
        <w:t xml:space="preserve"> element of an offence, they can be convicted notwithstanding that there is a doubt about their guilt. This is what is at stake. </w:t>
      </w:r>
      <w:r w:rsidR="003779C1" w:rsidRPr="003D7189">
        <w:rPr>
          <w:rFonts w:ascii="Times" w:hAnsi="Times"/>
        </w:rPr>
        <w:t>It is worth referring to the South Africa</w:t>
      </w:r>
      <w:r w:rsidR="00674C2A">
        <w:rPr>
          <w:rFonts w:ascii="Times" w:hAnsi="Times"/>
        </w:rPr>
        <w:t>n</w:t>
      </w:r>
      <w:r w:rsidR="003779C1" w:rsidRPr="003D7189">
        <w:rPr>
          <w:rFonts w:ascii="Times" w:hAnsi="Times"/>
        </w:rPr>
        <w:t xml:space="preserve"> Constitutional Court case of </w:t>
      </w:r>
      <w:r w:rsidR="003779C1" w:rsidRPr="003D7189">
        <w:rPr>
          <w:rFonts w:ascii="Times" w:hAnsi="Times"/>
          <w:i/>
          <w:iCs/>
        </w:rPr>
        <w:t>Mbatha</w:t>
      </w:r>
      <w:r w:rsidR="006B680A">
        <w:rPr>
          <w:rStyle w:val="FootnoteReference"/>
          <w:rFonts w:ascii="Times" w:hAnsi="Times"/>
          <w:i/>
          <w:iCs/>
        </w:rPr>
        <w:footnoteReference w:id="33"/>
      </w:r>
      <w:r w:rsidR="003779C1" w:rsidRPr="003D7189">
        <w:rPr>
          <w:rFonts w:ascii="Times" w:hAnsi="Times"/>
        </w:rPr>
        <w:t>, where Langa J said as follows:</w:t>
      </w:r>
    </w:p>
    <w:p w14:paraId="1AE2AFF7" w14:textId="77777777" w:rsidR="003779C1" w:rsidRPr="006A1B1E" w:rsidRDefault="003779C1" w:rsidP="00335BBC">
      <w:pPr>
        <w:pStyle w:val="NoSpacing"/>
        <w:spacing w:line="360" w:lineRule="auto"/>
        <w:ind w:left="720"/>
        <w:jc w:val="both"/>
        <w:rPr>
          <w:rFonts w:ascii="Times" w:hAnsi="Times"/>
          <w:i/>
          <w:iCs/>
        </w:rPr>
      </w:pPr>
      <w:r w:rsidRPr="006A1B1E">
        <w:rPr>
          <w:rFonts w:ascii="Times" w:hAnsi="Times"/>
          <w:i/>
          <w:iCs/>
        </w:rPr>
        <w:t xml:space="preserve">‘[10] No legal system can guarantee that no innocent person ever be convicted. Indeed, the provision of corrective action by way of appeal and review procedures is an acknowledgement of the ever-present possibility of judicial fallibility. </w:t>
      </w:r>
    </w:p>
    <w:p w14:paraId="40445BCA" w14:textId="376CA101" w:rsidR="003779C1" w:rsidRDefault="003779C1" w:rsidP="00335BBC">
      <w:pPr>
        <w:pStyle w:val="NoSpacing"/>
        <w:spacing w:line="360" w:lineRule="auto"/>
        <w:ind w:left="720"/>
        <w:jc w:val="both"/>
        <w:rPr>
          <w:rFonts w:ascii="Times" w:hAnsi="Times"/>
          <w:i/>
          <w:iCs/>
        </w:rPr>
      </w:pPr>
      <w:r w:rsidRPr="006A1B1E">
        <w:rPr>
          <w:rFonts w:ascii="Times" w:hAnsi="Times"/>
          <w:i/>
          <w:iCs/>
        </w:rPr>
        <w:t>Yet it is one thing for the law to acknowledge the possibility of wrongly but honestly convicting the innocent and then provide appropriate measures to reduce the possibility of this happening as far as is practicable; it is another for the law itself to heighten the possibility of a miscarriage of justice by compelling the trial court to convict where it entertains real doubts as to culpability and then to prevent the reviewing court from altering the conviction even if it shares in the doubts.’</w:t>
      </w:r>
    </w:p>
    <w:p w14:paraId="5D6973D6" w14:textId="77777777" w:rsidR="003779C1" w:rsidRPr="003779C1" w:rsidRDefault="003779C1" w:rsidP="00335BBC">
      <w:pPr>
        <w:pStyle w:val="NoSpacing"/>
        <w:spacing w:line="360" w:lineRule="auto"/>
        <w:ind w:left="720"/>
        <w:jc w:val="both"/>
        <w:rPr>
          <w:rFonts w:ascii="Times" w:hAnsi="Times"/>
          <w:i/>
          <w:iCs/>
        </w:rPr>
      </w:pPr>
    </w:p>
    <w:p w14:paraId="061327A9" w14:textId="07C544C6" w:rsidR="00E00303" w:rsidRPr="002E3DB8" w:rsidRDefault="00E00303" w:rsidP="00335BBC">
      <w:pPr>
        <w:pStyle w:val="ListParagraph"/>
        <w:numPr>
          <w:ilvl w:val="0"/>
          <w:numId w:val="2"/>
        </w:numPr>
        <w:shd w:val="clear" w:color="auto" w:fill="FFFFFF"/>
        <w:spacing w:after="240" w:line="360" w:lineRule="auto"/>
        <w:jc w:val="both"/>
        <w:rPr>
          <w:i/>
          <w:iCs/>
          <w:color w:val="000000" w:themeColor="text1"/>
        </w:rPr>
      </w:pPr>
      <w:r w:rsidRPr="002E3DB8">
        <w:rPr>
          <w:rFonts w:ascii="Times" w:hAnsi="Times"/>
        </w:rPr>
        <w:t xml:space="preserve">In the High Court, Stack J was of the view that such a state of affairs could never be permitted: </w:t>
      </w:r>
      <w:r w:rsidRPr="002E3DB8">
        <w:rPr>
          <w:rFonts w:ascii="Times" w:hAnsi="Times"/>
          <w:i/>
          <w:iCs/>
        </w:rPr>
        <w:t>‘Put simply, a trial which permits conviction where there is a reasonable doubt as to the guilt of the accused is not a fair trial.’</w:t>
      </w:r>
      <w:r w:rsidR="006B680A">
        <w:rPr>
          <w:rStyle w:val="FootnoteReference"/>
          <w:rFonts w:ascii="Times" w:hAnsi="Times"/>
          <w:i/>
          <w:iCs/>
        </w:rPr>
        <w:footnoteReference w:id="34"/>
      </w:r>
    </w:p>
    <w:p w14:paraId="3912C061" w14:textId="77777777" w:rsidR="002E3DB8" w:rsidRPr="002E3DB8" w:rsidRDefault="002E3DB8" w:rsidP="00335BBC">
      <w:pPr>
        <w:pStyle w:val="ListParagraph"/>
        <w:shd w:val="clear" w:color="auto" w:fill="FFFFFF"/>
        <w:spacing w:after="240" w:line="360" w:lineRule="auto"/>
        <w:ind w:left="360"/>
        <w:jc w:val="both"/>
        <w:rPr>
          <w:i/>
          <w:iCs/>
          <w:color w:val="000000" w:themeColor="text1"/>
        </w:rPr>
      </w:pPr>
    </w:p>
    <w:p w14:paraId="3A150667" w14:textId="279DBF0C" w:rsidR="00673AA0" w:rsidRPr="00DE43CD" w:rsidRDefault="006A1B1E"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lastRenderedPageBreak/>
        <w:t xml:space="preserve">This </w:t>
      </w:r>
      <w:r w:rsidR="00673AA0">
        <w:rPr>
          <w:rFonts w:ascii="Times" w:hAnsi="Times" w:cs="Open Sans"/>
          <w:color w:val="000000" w:themeColor="text1"/>
        </w:rPr>
        <w:t xml:space="preserve">is a view which has been expressed </w:t>
      </w:r>
      <w:r w:rsidR="003D7189">
        <w:rPr>
          <w:rFonts w:ascii="Times" w:hAnsi="Times" w:cs="Open Sans"/>
          <w:color w:val="000000" w:themeColor="text1"/>
        </w:rPr>
        <w:t xml:space="preserve">with equal force </w:t>
      </w:r>
      <w:r w:rsidR="00673AA0">
        <w:rPr>
          <w:rFonts w:ascii="Times" w:hAnsi="Times" w:cs="Open Sans"/>
          <w:color w:val="000000" w:themeColor="text1"/>
        </w:rPr>
        <w:t>in other jurisdictions</w:t>
      </w:r>
      <w:r w:rsidR="00536B7D" w:rsidRPr="00536B7D">
        <w:rPr>
          <w:rFonts w:ascii="Times" w:hAnsi="Times" w:cs="Open Sans"/>
          <w:color w:val="000000" w:themeColor="text1"/>
        </w:rPr>
        <w:t xml:space="preserve">. </w:t>
      </w:r>
      <w:r w:rsidR="00673AA0" w:rsidRPr="00DE43CD">
        <w:rPr>
          <w:rFonts w:ascii="Times" w:hAnsi="Times" w:cs="Open Sans"/>
          <w:color w:val="000000" w:themeColor="text1"/>
        </w:rPr>
        <w:t xml:space="preserve">In </w:t>
      </w:r>
      <w:r w:rsidR="00D7229B">
        <w:rPr>
          <w:rFonts w:ascii="Times" w:hAnsi="Times" w:cs="Open Sans"/>
          <w:color w:val="000000" w:themeColor="text1"/>
        </w:rPr>
        <w:t xml:space="preserve">the landmark </w:t>
      </w:r>
      <w:r w:rsidR="00673AA0" w:rsidRPr="00DE43CD">
        <w:rPr>
          <w:rFonts w:ascii="Times" w:hAnsi="Times" w:cs="Open Sans"/>
          <w:color w:val="000000" w:themeColor="text1"/>
        </w:rPr>
        <w:t xml:space="preserve">U.S. case in respect of shifting the legal burden, </w:t>
      </w:r>
      <w:r w:rsidR="00673AA0" w:rsidRPr="00DE43CD">
        <w:rPr>
          <w:rFonts w:ascii="Times" w:hAnsi="Times" w:cs="Open Sans"/>
          <w:i/>
          <w:iCs/>
          <w:color w:val="000000" w:themeColor="text1"/>
        </w:rPr>
        <w:t>Winship</w:t>
      </w:r>
      <w:r w:rsidR="006B680A">
        <w:rPr>
          <w:rStyle w:val="FootnoteReference"/>
          <w:rFonts w:ascii="Times" w:hAnsi="Times" w:cs="Open Sans"/>
          <w:i/>
          <w:iCs/>
          <w:color w:val="000000" w:themeColor="text1"/>
        </w:rPr>
        <w:footnoteReference w:id="35"/>
      </w:r>
      <w:r w:rsidR="00673AA0" w:rsidRPr="00DE43CD">
        <w:rPr>
          <w:rFonts w:ascii="Times" w:hAnsi="Times" w:cs="Open Sans"/>
          <w:color w:val="000000" w:themeColor="text1"/>
        </w:rPr>
        <w:t xml:space="preserve">, the </w:t>
      </w:r>
      <w:r w:rsidR="00DE43CD" w:rsidRPr="00DE43CD">
        <w:rPr>
          <w:rFonts w:ascii="Times" w:hAnsi="Times" w:cs="Open Sans"/>
          <w:color w:val="000000" w:themeColor="text1"/>
        </w:rPr>
        <w:t>Supreme Court</w:t>
      </w:r>
      <w:r w:rsidR="00DE43CD">
        <w:rPr>
          <w:rFonts w:ascii="Times" w:hAnsi="Times" w:cs="Open Sans"/>
          <w:color w:val="000000" w:themeColor="text1"/>
        </w:rPr>
        <w:t>, per Harlan J,</w:t>
      </w:r>
      <w:r w:rsidR="00673AA0" w:rsidRPr="00DE43CD">
        <w:rPr>
          <w:rFonts w:ascii="Times" w:hAnsi="Times" w:cs="Open Sans"/>
          <w:color w:val="000000" w:themeColor="text1"/>
        </w:rPr>
        <w:t xml:space="preserve"> </w:t>
      </w:r>
      <w:r w:rsidR="00DE43CD">
        <w:rPr>
          <w:rFonts w:ascii="Times" w:hAnsi="Times" w:cs="Open Sans"/>
          <w:color w:val="000000" w:themeColor="text1"/>
        </w:rPr>
        <w:t>said</w:t>
      </w:r>
      <w:r w:rsidR="00673AA0" w:rsidRPr="00DE43CD">
        <w:rPr>
          <w:rFonts w:ascii="Times" w:hAnsi="Times" w:cs="Open Sans"/>
          <w:color w:val="000000" w:themeColor="text1"/>
        </w:rPr>
        <w:t xml:space="preserve">: </w:t>
      </w:r>
    </w:p>
    <w:p w14:paraId="53A380FF" w14:textId="77777777" w:rsidR="00673AA0" w:rsidRPr="00A148C3" w:rsidRDefault="00673AA0" w:rsidP="00335BBC">
      <w:pPr>
        <w:pStyle w:val="ListParagraph"/>
        <w:spacing w:line="360" w:lineRule="auto"/>
        <w:ind w:left="360"/>
        <w:rPr>
          <w:rFonts w:ascii="Times" w:hAnsi="Times" w:cs="Open Sans"/>
          <w:color w:val="000000"/>
          <w:shd w:val="clear" w:color="auto" w:fill="FFFFFF"/>
        </w:rPr>
      </w:pPr>
    </w:p>
    <w:p w14:paraId="42989FD6" w14:textId="77777777" w:rsidR="00673AA0" w:rsidRPr="00A148C3" w:rsidRDefault="00673AA0" w:rsidP="00335BBC">
      <w:pPr>
        <w:pStyle w:val="ListParagraph"/>
        <w:spacing w:line="360" w:lineRule="auto"/>
        <w:jc w:val="both"/>
        <w:rPr>
          <w:rFonts w:ascii="Times" w:hAnsi="Times" w:cs="Open Sans"/>
          <w:i/>
          <w:iCs/>
          <w:color w:val="000000"/>
          <w:shd w:val="clear" w:color="auto" w:fill="FFFFFF"/>
        </w:rPr>
      </w:pPr>
      <w:r>
        <w:rPr>
          <w:rFonts w:ascii="Times" w:hAnsi="Times" w:cs="Open Sans"/>
          <w:i/>
          <w:iCs/>
          <w:color w:val="000000"/>
        </w:rPr>
        <w:t>‘</w:t>
      </w:r>
      <w:r w:rsidRPr="00A148C3">
        <w:rPr>
          <w:rFonts w:ascii="Times" w:hAnsi="Times" w:cs="Open Sans"/>
          <w:i/>
          <w:iCs/>
          <w:color w:val="000000"/>
        </w:rPr>
        <w:t>Lest there remain any doubt about the constitutional stature of the reasonable doubt standard, we explicitly hold that the Due Process Clause protects the accused against conviction except upon proof beyond a reasonable doubt of every fact necessary to constitute the crime with which he is charged.</w:t>
      </w:r>
      <w:r>
        <w:rPr>
          <w:rFonts w:ascii="Times" w:hAnsi="Times" w:cs="Open Sans"/>
          <w:i/>
          <w:iCs/>
          <w:color w:val="000000"/>
        </w:rPr>
        <w:t>’</w:t>
      </w:r>
    </w:p>
    <w:p w14:paraId="7438AF7A" w14:textId="77777777" w:rsidR="00673AA0" w:rsidRPr="00A148C3" w:rsidRDefault="00673AA0" w:rsidP="00335BBC">
      <w:pPr>
        <w:pStyle w:val="ListParagraph"/>
        <w:spacing w:line="360" w:lineRule="auto"/>
        <w:ind w:left="360"/>
        <w:rPr>
          <w:rFonts w:ascii="Times" w:hAnsi="Times" w:cs="Open Sans"/>
          <w:color w:val="000000"/>
          <w:shd w:val="clear" w:color="auto" w:fill="FFFFFF"/>
        </w:rPr>
      </w:pPr>
    </w:p>
    <w:p w14:paraId="0FCF4FD8" w14:textId="53235677" w:rsidR="003D7189" w:rsidRPr="001A250D" w:rsidRDefault="00DE43CD"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This</w:t>
      </w:r>
      <w:r w:rsidR="003D7189">
        <w:rPr>
          <w:rFonts w:ascii="Times" w:hAnsi="Times" w:cs="Open Sans"/>
          <w:color w:val="000000" w:themeColor="text1"/>
        </w:rPr>
        <w:t xml:space="preserve"> approach reflect</w:t>
      </w:r>
      <w:r>
        <w:rPr>
          <w:rFonts w:ascii="Times" w:hAnsi="Times" w:cs="Open Sans"/>
          <w:color w:val="000000" w:themeColor="text1"/>
        </w:rPr>
        <w:t>ed</w:t>
      </w:r>
      <w:r w:rsidR="003D7189">
        <w:rPr>
          <w:rFonts w:ascii="Times" w:hAnsi="Times" w:cs="Open Sans"/>
          <w:color w:val="000000" w:themeColor="text1"/>
        </w:rPr>
        <w:t xml:space="preserve"> a </w:t>
      </w:r>
      <w:r>
        <w:rPr>
          <w:rFonts w:ascii="Times" w:hAnsi="Times" w:cs="Open Sans"/>
          <w:color w:val="000000" w:themeColor="text1"/>
        </w:rPr>
        <w:t>focus</w:t>
      </w:r>
      <w:r w:rsidR="003D7189">
        <w:rPr>
          <w:rFonts w:ascii="Times" w:hAnsi="Times" w:cs="Open Sans"/>
          <w:color w:val="000000" w:themeColor="text1"/>
        </w:rPr>
        <w:t xml:space="preserve">, </w:t>
      </w:r>
      <w:r w:rsidR="00955F4B">
        <w:rPr>
          <w:rFonts w:ascii="Times" w:hAnsi="Times" w:cs="Open Sans"/>
          <w:color w:val="000000" w:themeColor="text1"/>
        </w:rPr>
        <w:t>similar to</w:t>
      </w:r>
      <w:r w:rsidR="003D7189">
        <w:rPr>
          <w:rFonts w:ascii="Times" w:hAnsi="Times" w:cs="Open Sans"/>
          <w:color w:val="000000" w:themeColor="text1"/>
        </w:rPr>
        <w:t xml:space="preserve"> </w:t>
      </w:r>
      <w:r w:rsidR="00955F4B">
        <w:rPr>
          <w:rFonts w:ascii="Times" w:hAnsi="Times" w:cs="Open Sans"/>
          <w:color w:val="000000" w:themeColor="text1"/>
        </w:rPr>
        <w:t xml:space="preserve">the </w:t>
      </w:r>
      <w:r w:rsidR="003D7189">
        <w:rPr>
          <w:rFonts w:ascii="Times" w:hAnsi="Times" w:cs="Open Sans"/>
          <w:color w:val="000000" w:themeColor="text1"/>
        </w:rPr>
        <w:t xml:space="preserve">approach </w:t>
      </w:r>
      <w:r w:rsidR="00955F4B">
        <w:rPr>
          <w:rFonts w:ascii="Times" w:hAnsi="Times" w:cs="Open Sans"/>
          <w:color w:val="000000" w:themeColor="text1"/>
        </w:rPr>
        <w:t>of</w:t>
      </w:r>
      <w:r w:rsidR="003D7189">
        <w:rPr>
          <w:rFonts w:ascii="Times" w:hAnsi="Times" w:cs="Open Sans"/>
          <w:color w:val="000000" w:themeColor="text1"/>
        </w:rPr>
        <w:t xml:space="preserve"> the Irish Courts</w:t>
      </w:r>
      <w:r>
        <w:rPr>
          <w:rFonts w:ascii="Times" w:hAnsi="Times" w:cs="Open Sans"/>
          <w:color w:val="000000" w:themeColor="text1"/>
        </w:rPr>
        <w:t xml:space="preserve"> to Article 38.1</w:t>
      </w:r>
      <w:r w:rsidR="003D7189">
        <w:rPr>
          <w:rFonts w:ascii="Times" w:hAnsi="Times" w:cs="Open Sans"/>
          <w:color w:val="000000" w:themeColor="text1"/>
        </w:rPr>
        <w:t xml:space="preserve">, </w:t>
      </w:r>
      <w:r>
        <w:rPr>
          <w:rFonts w:ascii="Times" w:hAnsi="Times" w:cs="Open Sans"/>
          <w:color w:val="000000" w:themeColor="text1"/>
        </w:rPr>
        <w:t>on</w:t>
      </w:r>
      <w:r w:rsidR="003D7189">
        <w:rPr>
          <w:rFonts w:ascii="Times" w:hAnsi="Times" w:cs="Open Sans"/>
          <w:color w:val="000000" w:themeColor="text1"/>
        </w:rPr>
        <w:t xml:space="preserve"> the social value </w:t>
      </w:r>
      <w:r>
        <w:rPr>
          <w:rFonts w:ascii="Times" w:hAnsi="Times" w:cs="Open Sans"/>
          <w:color w:val="000000" w:themeColor="text1"/>
        </w:rPr>
        <w:t>of</w:t>
      </w:r>
      <w:r w:rsidR="003D7189">
        <w:rPr>
          <w:rFonts w:ascii="Times" w:hAnsi="Times" w:cs="Open Sans"/>
          <w:color w:val="000000" w:themeColor="text1"/>
        </w:rPr>
        <w:t xml:space="preserve"> justice being seen to be done. </w:t>
      </w:r>
      <w:r w:rsidR="003D7189">
        <w:t>Harlan J said:</w:t>
      </w:r>
      <w:r w:rsidR="003D7189" w:rsidRPr="007F4178">
        <w:t xml:space="preserve"> </w:t>
      </w:r>
    </w:p>
    <w:p w14:paraId="1F36D9A1" w14:textId="77777777" w:rsidR="003D7189" w:rsidRDefault="003D7189" w:rsidP="00335BBC">
      <w:pPr>
        <w:pStyle w:val="ListParagraph"/>
        <w:spacing w:line="360" w:lineRule="auto"/>
      </w:pPr>
    </w:p>
    <w:p w14:paraId="1647A5E5" w14:textId="4F46F42F" w:rsidR="003D7189" w:rsidRDefault="003D7189" w:rsidP="00335BBC">
      <w:pPr>
        <w:pStyle w:val="ListParagraph"/>
        <w:shd w:val="clear" w:color="auto" w:fill="FFFFFF"/>
        <w:spacing w:after="240" w:line="360" w:lineRule="auto"/>
        <w:jc w:val="both"/>
        <w:rPr>
          <w:i/>
          <w:iCs/>
        </w:rPr>
      </w:pPr>
      <w:r>
        <w:rPr>
          <w:i/>
          <w:iCs/>
        </w:rPr>
        <w:t>‘</w:t>
      </w:r>
      <w:r w:rsidRPr="006A1B1E">
        <w:rPr>
          <w:i/>
          <w:iCs/>
        </w:rPr>
        <w:t>use of the reasonable doubt standard is indispensable to command the respect and confidence of the community in applications of the criminal law. It is critical that the moral force of the criminal law not be diluted by a standard of proof that leaves people in doubt whether innocent men are being condemned.’</w:t>
      </w:r>
      <w:r w:rsidR="006B680A">
        <w:rPr>
          <w:rStyle w:val="FootnoteReference"/>
          <w:i/>
          <w:iCs/>
        </w:rPr>
        <w:footnoteReference w:id="36"/>
      </w:r>
      <w:r w:rsidRPr="006A1B1E">
        <w:rPr>
          <w:i/>
          <w:iCs/>
        </w:rPr>
        <w:t xml:space="preserve"> </w:t>
      </w:r>
    </w:p>
    <w:p w14:paraId="6FB86388" w14:textId="77777777" w:rsidR="003D7189" w:rsidRPr="003D7189" w:rsidRDefault="003D7189" w:rsidP="00335BBC">
      <w:pPr>
        <w:pStyle w:val="ListParagraph"/>
        <w:shd w:val="clear" w:color="auto" w:fill="FFFFFF"/>
        <w:spacing w:after="240" w:line="360" w:lineRule="auto"/>
        <w:ind w:left="360"/>
        <w:jc w:val="both"/>
        <w:rPr>
          <w:rFonts w:ascii="Times" w:hAnsi="Times" w:cs="Open Sans"/>
          <w:color w:val="000000" w:themeColor="text1"/>
        </w:rPr>
      </w:pPr>
    </w:p>
    <w:p w14:paraId="17BC71FE" w14:textId="1A2AB3A0" w:rsidR="00673AA0" w:rsidRPr="00DE43CD" w:rsidRDefault="00673AA0" w:rsidP="00335BBC">
      <w:pPr>
        <w:pStyle w:val="ListParagraph"/>
        <w:numPr>
          <w:ilvl w:val="0"/>
          <w:numId w:val="2"/>
        </w:numPr>
        <w:shd w:val="clear" w:color="auto" w:fill="FFFFFF"/>
        <w:spacing w:after="240" w:line="360" w:lineRule="auto"/>
        <w:jc w:val="both"/>
        <w:rPr>
          <w:rFonts w:ascii="Times" w:hAnsi="Times" w:cs="Open Sans"/>
          <w:color w:val="000000" w:themeColor="text1"/>
        </w:rPr>
      </w:pPr>
      <w:r w:rsidRPr="00EB26B8">
        <w:rPr>
          <w:rFonts w:ascii="Times" w:hAnsi="Times" w:cs="Open Sans"/>
          <w:color w:val="000000"/>
          <w:shd w:val="clear" w:color="auto" w:fill="FFFFFF"/>
        </w:rPr>
        <w:t xml:space="preserve">This protection was extended </w:t>
      </w:r>
      <w:r>
        <w:rPr>
          <w:rFonts w:ascii="Times" w:hAnsi="Times" w:cs="Open Sans"/>
          <w:color w:val="000000"/>
          <w:shd w:val="clear" w:color="auto" w:fill="FFFFFF"/>
        </w:rPr>
        <w:t xml:space="preserve">by the </w:t>
      </w:r>
      <w:r w:rsidR="00DE43CD">
        <w:rPr>
          <w:rFonts w:ascii="Times" w:hAnsi="Times" w:cs="Open Sans"/>
          <w:color w:val="000000"/>
          <w:shd w:val="clear" w:color="auto" w:fill="FFFFFF"/>
        </w:rPr>
        <w:t xml:space="preserve">U.S. </w:t>
      </w:r>
      <w:r>
        <w:rPr>
          <w:rFonts w:ascii="Times" w:hAnsi="Times" w:cs="Open Sans"/>
          <w:color w:val="000000"/>
          <w:shd w:val="clear" w:color="auto" w:fill="FFFFFF"/>
        </w:rPr>
        <w:t xml:space="preserve">Supreme Court </w:t>
      </w:r>
      <w:r w:rsidRPr="00EB26B8">
        <w:rPr>
          <w:rFonts w:ascii="Times" w:hAnsi="Times" w:cs="Open Sans"/>
          <w:color w:val="000000"/>
          <w:shd w:val="clear" w:color="auto" w:fill="FFFFFF"/>
        </w:rPr>
        <w:t xml:space="preserve">to </w:t>
      </w:r>
      <w:r w:rsidR="00DE43CD">
        <w:rPr>
          <w:rFonts w:ascii="Times" w:hAnsi="Times" w:cs="Open Sans"/>
          <w:color w:val="000000"/>
          <w:shd w:val="clear" w:color="auto" w:fill="FFFFFF"/>
        </w:rPr>
        <w:t>‘</w:t>
      </w:r>
      <w:r w:rsidRPr="00EB26B8">
        <w:rPr>
          <w:rFonts w:ascii="Times" w:hAnsi="Times" w:cs="Open Sans"/>
          <w:color w:val="000000"/>
          <w:shd w:val="clear" w:color="auto" w:fill="FFFFFF"/>
        </w:rPr>
        <w:t>affirmative defences</w:t>
      </w:r>
      <w:r w:rsidR="00DE43CD">
        <w:rPr>
          <w:rFonts w:ascii="Times" w:hAnsi="Times" w:cs="Open Sans"/>
          <w:color w:val="000000"/>
          <w:shd w:val="clear" w:color="auto" w:fill="FFFFFF"/>
        </w:rPr>
        <w:t>’,</w:t>
      </w:r>
      <w:r w:rsidRPr="00EB26B8">
        <w:rPr>
          <w:rFonts w:ascii="Times" w:hAnsi="Times" w:cs="Open Sans"/>
          <w:color w:val="000000"/>
          <w:shd w:val="clear" w:color="auto" w:fill="FFFFFF"/>
        </w:rPr>
        <w:t xml:space="preserve"> such as provocation</w:t>
      </w:r>
      <w:r w:rsidR="00DE43CD">
        <w:rPr>
          <w:rFonts w:ascii="Times" w:hAnsi="Times" w:cs="Open Sans"/>
          <w:color w:val="000000"/>
          <w:shd w:val="clear" w:color="auto" w:fill="FFFFFF"/>
        </w:rPr>
        <w:t>,</w:t>
      </w:r>
      <w:r w:rsidRPr="00EB26B8">
        <w:rPr>
          <w:rFonts w:ascii="Times" w:hAnsi="Times" w:cs="Open Sans"/>
          <w:color w:val="000000"/>
          <w:shd w:val="clear" w:color="auto" w:fill="FFFFFF"/>
        </w:rPr>
        <w:t xml:space="preserve"> in the case of </w:t>
      </w:r>
      <w:r w:rsidRPr="00673AA0">
        <w:rPr>
          <w:rFonts w:ascii="Times" w:hAnsi="Times" w:cs="Open Sans"/>
          <w:i/>
          <w:iCs/>
          <w:color w:val="000000"/>
          <w:shd w:val="clear" w:color="auto" w:fill="FFFFFF"/>
        </w:rPr>
        <w:t>Mullaney v Wilbur</w:t>
      </w:r>
      <w:r w:rsidR="006B680A">
        <w:rPr>
          <w:rStyle w:val="FootnoteReference"/>
          <w:rFonts w:ascii="Times" w:hAnsi="Times" w:cs="Open Sans"/>
          <w:i/>
          <w:iCs/>
          <w:color w:val="000000"/>
          <w:shd w:val="clear" w:color="auto" w:fill="FFFFFF"/>
        </w:rPr>
        <w:footnoteReference w:id="37"/>
      </w:r>
      <w:r w:rsidR="00F436D9">
        <w:rPr>
          <w:rFonts w:ascii="Times" w:hAnsi="Times" w:cs="Open Sans"/>
          <w:color w:val="000000"/>
          <w:shd w:val="clear" w:color="auto" w:fill="FFFFFF"/>
        </w:rPr>
        <w:t xml:space="preserve">, without any distinction being drawn between an element of an offence and a mitigatory defence. </w:t>
      </w:r>
      <w:r w:rsidR="00F436D9" w:rsidRPr="00DE43CD">
        <w:rPr>
          <w:rFonts w:ascii="Times" w:hAnsi="Times" w:cs="Open Sans"/>
          <w:color w:val="000000"/>
          <w:shd w:val="clear" w:color="auto" w:fill="FFFFFF"/>
        </w:rPr>
        <w:t>This is of note</w:t>
      </w:r>
      <w:r w:rsidR="00DE43CD" w:rsidRPr="00DE43CD">
        <w:rPr>
          <w:rFonts w:ascii="Times" w:hAnsi="Times" w:cs="Open Sans"/>
          <w:color w:val="000000"/>
          <w:shd w:val="clear" w:color="auto" w:fill="FFFFFF"/>
        </w:rPr>
        <w:t xml:space="preserve"> in the present case</w:t>
      </w:r>
      <w:r w:rsidR="00F436D9" w:rsidRPr="00DE43CD">
        <w:rPr>
          <w:rFonts w:ascii="Times" w:hAnsi="Times" w:cs="Open Sans"/>
          <w:color w:val="000000"/>
          <w:shd w:val="clear" w:color="auto" w:fill="FFFFFF"/>
        </w:rPr>
        <w:t xml:space="preserve">, as </w:t>
      </w:r>
      <w:r w:rsidR="00955F4B">
        <w:rPr>
          <w:rFonts w:ascii="Times" w:hAnsi="Times" w:cs="Open Sans"/>
          <w:color w:val="000000"/>
          <w:shd w:val="clear" w:color="auto" w:fill="FFFFFF"/>
        </w:rPr>
        <w:t xml:space="preserve">the </w:t>
      </w:r>
      <w:r w:rsidR="00DE43CD" w:rsidRPr="00DE43CD">
        <w:rPr>
          <w:rFonts w:ascii="Times" w:hAnsi="Times"/>
        </w:rPr>
        <w:t>Learned High Court Judge</w:t>
      </w:r>
      <w:r w:rsidR="00F436D9" w:rsidRPr="00DE43CD">
        <w:rPr>
          <w:rFonts w:ascii="Times" w:hAnsi="Times"/>
        </w:rPr>
        <w:t xml:space="preserve"> distinguished </w:t>
      </w:r>
      <w:r w:rsidR="00955F4B">
        <w:rPr>
          <w:rFonts w:ascii="Times" w:hAnsi="Times"/>
        </w:rPr>
        <w:t xml:space="preserve">the outcome of </w:t>
      </w:r>
      <w:r w:rsidR="00F436D9" w:rsidRPr="00DE43CD">
        <w:rPr>
          <w:rFonts w:ascii="Times" w:hAnsi="Times"/>
          <w:i/>
          <w:iCs/>
        </w:rPr>
        <w:t>Heffernan</w:t>
      </w:r>
      <w:r w:rsidR="006B680A">
        <w:rPr>
          <w:rStyle w:val="FootnoteReference"/>
          <w:rFonts w:ascii="Times" w:hAnsi="Times"/>
          <w:i/>
          <w:iCs/>
        </w:rPr>
        <w:footnoteReference w:id="38"/>
      </w:r>
      <w:r w:rsidR="003D7189" w:rsidRPr="00DE43CD">
        <w:rPr>
          <w:rFonts w:ascii="Times" w:hAnsi="Times"/>
        </w:rPr>
        <w:t xml:space="preserve"> </w:t>
      </w:r>
      <w:r w:rsidR="00F436D9" w:rsidRPr="00DE43CD">
        <w:rPr>
          <w:rFonts w:ascii="Times" w:hAnsi="Times"/>
        </w:rPr>
        <w:t xml:space="preserve">on the basis that diminished responsibility related to a special </w:t>
      </w:r>
      <w:r w:rsidR="00955F4B">
        <w:rPr>
          <w:rFonts w:ascii="Times" w:hAnsi="Times"/>
        </w:rPr>
        <w:t xml:space="preserve">mitigatory </w:t>
      </w:r>
      <w:r w:rsidR="00F436D9" w:rsidRPr="00DE43CD">
        <w:rPr>
          <w:rFonts w:ascii="Times" w:hAnsi="Times"/>
        </w:rPr>
        <w:t xml:space="preserve">defence which was available to an accused notwithstanding that the elements of the offence had been proven. </w:t>
      </w:r>
    </w:p>
    <w:p w14:paraId="7DF5853D" w14:textId="77777777" w:rsidR="00F436D9" w:rsidRPr="00F436D9" w:rsidRDefault="00F436D9" w:rsidP="00335BBC">
      <w:pPr>
        <w:pStyle w:val="ListParagraph"/>
        <w:shd w:val="clear" w:color="auto" w:fill="FFFFFF"/>
        <w:spacing w:after="240" w:line="360" w:lineRule="auto"/>
        <w:ind w:left="360"/>
        <w:jc w:val="both"/>
        <w:rPr>
          <w:rFonts w:ascii="Times" w:hAnsi="Times" w:cs="Open Sans"/>
          <w:color w:val="000000" w:themeColor="text1"/>
        </w:rPr>
      </w:pPr>
    </w:p>
    <w:p w14:paraId="1BF7BBB3" w14:textId="5353AED8" w:rsidR="00B71914" w:rsidRDefault="00673AA0" w:rsidP="00335BBC">
      <w:pPr>
        <w:pStyle w:val="ListParagraph"/>
        <w:numPr>
          <w:ilvl w:val="0"/>
          <w:numId w:val="2"/>
        </w:numPr>
        <w:spacing w:line="360" w:lineRule="auto"/>
        <w:jc w:val="both"/>
        <w:rPr>
          <w:rFonts w:ascii="Times" w:hAnsi="Times" w:cs="Open Sans"/>
          <w:color w:val="000000"/>
          <w:shd w:val="clear" w:color="auto" w:fill="FFFFFF"/>
        </w:rPr>
      </w:pPr>
      <w:r w:rsidRPr="00EB26B8">
        <w:rPr>
          <w:rFonts w:ascii="Times" w:hAnsi="Times" w:cs="Open Sans"/>
          <w:color w:val="000000"/>
          <w:shd w:val="clear" w:color="auto" w:fill="FFFFFF"/>
        </w:rPr>
        <w:t xml:space="preserve">However, in the later case of </w:t>
      </w:r>
      <w:r w:rsidRPr="00B71914">
        <w:rPr>
          <w:rFonts w:ascii="Times" w:hAnsi="Times" w:cs="Open Sans"/>
          <w:i/>
          <w:iCs/>
          <w:color w:val="000000"/>
          <w:shd w:val="clear" w:color="auto" w:fill="FFFFFF"/>
        </w:rPr>
        <w:t>Patterson v N</w:t>
      </w:r>
      <w:r w:rsidR="00B71914" w:rsidRPr="00B71914">
        <w:rPr>
          <w:rFonts w:ascii="Times" w:hAnsi="Times" w:cs="Open Sans"/>
          <w:i/>
          <w:iCs/>
          <w:color w:val="000000"/>
          <w:shd w:val="clear" w:color="auto" w:fill="FFFFFF"/>
        </w:rPr>
        <w:t xml:space="preserve">ew </w:t>
      </w:r>
      <w:r w:rsidRPr="00B71914">
        <w:rPr>
          <w:rFonts w:ascii="Times" w:hAnsi="Times" w:cs="Open Sans"/>
          <w:i/>
          <w:iCs/>
          <w:color w:val="000000"/>
          <w:shd w:val="clear" w:color="auto" w:fill="FFFFFF"/>
        </w:rPr>
        <w:t>Y</w:t>
      </w:r>
      <w:r w:rsidR="00B71914" w:rsidRPr="00B71914">
        <w:rPr>
          <w:rFonts w:ascii="Times" w:hAnsi="Times" w:cs="Open Sans"/>
          <w:i/>
          <w:iCs/>
          <w:color w:val="000000"/>
          <w:shd w:val="clear" w:color="auto" w:fill="FFFFFF"/>
        </w:rPr>
        <w:t>ork</w:t>
      </w:r>
      <w:r w:rsidR="006B680A">
        <w:rPr>
          <w:rStyle w:val="FootnoteReference"/>
          <w:rFonts w:ascii="Times" w:hAnsi="Times" w:cs="Open Sans"/>
          <w:i/>
          <w:iCs/>
          <w:color w:val="000000"/>
          <w:shd w:val="clear" w:color="auto" w:fill="FFFFFF"/>
        </w:rPr>
        <w:footnoteReference w:id="39"/>
      </w:r>
      <w:r w:rsidRPr="00EB26B8">
        <w:rPr>
          <w:rFonts w:ascii="Times" w:hAnsi="Times" w:cs="Open Sans"/>
          <w:color w:val="000000"/>
          <w:shd w:val="clear" w:color="auto" w:fill="FFFFFF"/>
        </w:rPr>
        <w:t>, the</w:t>
      </w:r>
      <w:r w:rsidR="00F436D9">
        <w:rPr>
          <w:rFonts w:ascii="Times" w:hAnsi="Times" w:cs="Open Sans"/>
          <w:color w:val="000000"/>
          <w:shd w:val="clear" w:color="auto" w:fill="FFFFFF"/>
        </w:rPr>
        <w:t xml:space="preserve"> </w:t>
      </w:r>
      <w:r w:rsidR="00B71914">
        <w:rPr>
          <w:rFonts w:ascii="Times" w:hAnsi="Times" w:cs="Open Sans"/>
          <w:color w:val="000000"/>
          <w:shd w:val="clear" w:color="auto" w:fill="FFFFFF"/>
        </w:rPr>
        <w:t xml:space="preserve">Supreme </w:t>
      </w:r>
      <w:r w:rsidRPr="00EB26B8">
        <w:rPr>
          <w:rFonts w:ascii="Times" w:hAnsi="Times" w:cs="Open Sans"/>
          <w:color w:val="000000"/>
          <w:shd w:val="clear" w:color="auto" w:fill="FFFFFF"/>
        </w:rPr>
        <w:t xml:space="preserve">Court split 4-3 and held that the legal burden of proof could, consistent with due process, be placed on the accused to </w:t>
      </w:r>
      <w:r w:rsidR="00DE43CD">
        <w:rPr>
          <w:rFonts w:ascii="Times" w:hAnsi="Times" w:cs="Open Sans"/>
          <w:color w:val="000000"/>
          <w:shd w:val="clear" w:color="auto" w:fill="FFFFFF"/>
        </w:rPr>
        <w:t>prove</w:t>
      </w:r>
      <w:r w:rsidRPr="00EB26B8">
        <w:rPr>
          <w:rFonts w:ascii="Times" w:hAnsi="Times" w:cs="Open Sans"/>
          <w:color w:val="000000"/>
          <w:shd w:val="clear" w:color="auto" w:fill="FFFFFF"/>
        </w:rPr>
        <w:t xml:space="preserve"> </w:t>
      </w:r>
      <w:r w:rsidR="00DE43CD">
        <w:rPr>
          <w:rFonts w:ascii="Times" w:hAnsi="Times" w:cs="Open Sans"/>
          <w:color w:val="000000"/>
          <w:shd w:val="clear" w:color="auto" w:fill="FFFFFF"/>
        </w:rPr>
        <w:t>the</w:t>
      </w:r>
      <w:r w:rsidRPr="00EB26B8">
        <w:rPr>
          <w:rFonts w:ascii="Times" w:hAnsi="Times" w:cs="Open Sans"/>
          <w:color w:val="000000"/>
          <w:shd w:val="clear" w:color="auto" w:fill="FFFFFF"/>
        </w:rPr>
        <w:t xml:space="preserve"> mitigatory defence of ‘extreme emotional disturbance’ in a case of murder. Th</w:t>
      </w:r>
      <w:r>
        <w:rPr>
          <w:rFonts w:ascii="Times" w:hAnsi="Times" w:cs="Open Sans"/>
          <w:color w:val="000000"/>
          <w:shd w:val="clear" w:color="auto" w:fill="FFFFFF"/>
        </w:rPr>
        <w:t>at</w:t>
      </w:r>
      <w:r w:rsidRPr="00EB26B8">
        <w:rPr>
          <w:rFonts w:ascii="Times" w:hAnsi="Times" w:cs="Open Sans"/>
          <w:color w:val="000000"/>
          <w:shd w:val="clear" w:color="auto" w:fill="FFFFFF"/>
        </w:rPr>
        <w:t xml:space="preserve"> defence approximates to our own defence of diminished responsibility. </w:t>
      </w:r>
    </w:p>
    <w:p w14:paraId="09E88697" w14:textId="77777777" w:rsidR="00B71914" w:rsidRPr="00B71914" w:rsidRDefault="00B71914" w:rsidP="00335BBC">
      <w:pPr>
        <w:pStyle w:val="ListParagraph"/>
        <w:spacing w:line="360" w:lineRule="auto"/>
        <w:rPr>
          <w:rFonts w:ascii="Times" w:hAnsi="Times" w:cs="Open Sans"/>
          <w:color w:val="000000"/>
          <w:shd w:val="clear" w:color="auto" w:fill="FFFFFF"/>
        </w:rPr>
      </w:pPr>
    </w:p>
    <w:p w14:paraId="7E8FC93C" w14:textId="446A651E" w:rsidR="00BF5628" w:rsidRPr="00BF5628" w:rsidRDefault="003E0540" w:rsidP="00335BBC">
      <w:pPr>
        <w:pStyle w:val="ListParagraph"/>
        <w:numPr>
          <w:ilvl w:val="0"/>
          <w:numId w:val="2"/>
        </w:numPr>
        <w:spacing w:line="360" w:lineRule="auto"/>
        <w:jc w:val="both"/>
        <w:rPr>
          <w:rFonts w:ascii="Times" w:hAnsi="Times"/>
          <w:i/>
          <w:iCs/>
          <w:color w:val="000000" w:themeColor="text1"/>
        </w:rPr>
      </w:pPr>
      <w:r>
        <w:rPr>
          <w:rFonts w:ascii="Times" w:hAnsi="Times"/>
        </w:rPr>
        <w:lastRenderedPageBreak/>
        <w:t xml:space="preserve">In the context of assessing the section impugned </w:t>
      </w:r>
      <w:r w:rsidR="00BF5628">
        <w:rPr>
          <w:rFonts w:ascii="Times" w:hAnsi="Times"/>
        </w:rPr>
        <w:t>in the</w:t>
      </w:r>
      <w:r w:rsidR="00674C2A">
        <w:rPr>
          <w:rFonts w:ascii="Times" w:hAnsi="Times"/>
        </w:rPr>
        <w:t>se</w:t>
      </w:r>
      <w:r w:rsidR="00955F4B">
        <w:rPr>
          <w:rFonts w:ascii="Times" w:hAnsi="Times"/>
        </w:rPr>
        <w:t xml:space="preserve"> </w:t>
      </w:r>
      <w:r w:rsidR="00BF5628">
        <w:rPr>
          <w:rFonts w:ascii="Times" w:hAnsi="Times"/>
        </w:rPr>
        <w:t>proceedings</w:t>
      </w:r>
      <w:r>
        <w:rPr>
          <w:rFonts w:ascii="Times" w:hAnsi="Times"/>
        </w:rPr>
        <w:t>, i</w:t>
      </w:r>
      <w:r w:rsidR="00E00303" w:rsidRPr="00D674D0">
        <w:rPr>
          <w:rFonts w:ascii="Times" w:hAnsi="Times"/>
        </w:rPr>
        <w:t>t m</w:t>
      </w:r>
      <w:r w:rsidR="002E3DB8" w:rsidRPr="00D674D0">
        <w:rPr>
          <w:rFonts w:ascii="Times" w:hAnsi="Times"/>
        </w:rPr>
        <w:t>ust</w:t>
      </w:r>
      <w:r w:rsidR="00E00303" w:rsidRPr="00D674D0">
        <w:rPr>
          <w:rFonts w:ascii="Times" w:hAnsi="Times"/>
        </w:rPr>
        <w:t xml:space="preserve"> be questioned whether it is necessary to draw a critical distinction between an element of </w:t>
      </w:r>
      <w:r w:rsidR="00674C2A">
        <w:rPr>
          <w:rFonts w:ascii="Times" w:hAnsi="Times"/>
        </w:rPr>
        <w:t>the</w:t>
      </w:r>
      <w:r w:rsidR="00674C2A" w:rsidRPr="00D674D0">
        <w:rPr>
          <w:rFonts w:ascii="Times" w:hAnsi="Times"/>
        </w:rPr>
        <w:t xml:space="preserve"> </w:t>
      </w:r>
      <w:r w:rsidR="00E00303" w:rsidRPr="00D674D0">
        <w:rPr>
          <w:rFonts w:ascii="Times" w:hAnsi="Times"/>
        </w:rPr>
        <w:t xml:space="preserve">offence, and a defence. What is characterised as a defence </w:t>
      </w:r>
      <w:r w:rsidR="00BF5628">
        <w:rPr>
          <w:rFonts w:ascii="Times" w:hAnsi="Times"/>
        </w:rPr>
        <w:t xml:space="preserve">may </w:t>
      </w:r>
      <w:r w:rsidR="00E00303" w:rsidRPr="00D674D0">
        <w:rPr>
          <w:rFonts w:ascii="Times" w:hAnsi="Times"/>
        </w:rPr>
        <w:t xml:space="preserve">remove the </w:t>
      </w:r>
      <w:r w:rsidR="00E00303" w:rsidRPr="00D674D0">
        <w:rPr>
          <w:rFonts w:ascii="Times" w:hAnsi="Times"/>
          <w:i/>
          <w:iCs/>
        </w:rPr>
        <w:t>mens rea</w:t>
      </w:r>
      <w:r w:rsidR="00E00303" w:rsidRPr="00D674D0">
        <w:rPr>
          <w:rFonts w:ascii="Times" w:hAnsi="Times"/>
        </w:rPr>
        <w:t xml:space="preserve"> of an accused, </w:t>
      </w:r>
      <w:r>
        <w:rPr>
          <w:rFonts w:ascii="Times" w:hAnsi="Times"/>
        </w:rPr>
        <w:t xml:space="preserve">or alter it </w:t>
      </w:r>
      <w:r w:rsidR="00E00303" w:rsidRPr="00D674D0">
        <w:rPr>
          <w:rFonts w:ascii="Times" w:hAnsi="Times"/>
        </w:rPr>
        <w:t>so as to render the</w:t>
      </w:r>
      <w:r w:rsidR="00BF5628">
        <w:rPr>
          <w:rFonts w:ascii="Times" w:hAnsi="Times"/>
        </w:rPr>
        <w:t xml:space="preserve"> accused</w:t>
      </w:r>
      <w:r w:rsidR="00E00303" w:rsidRPr="00D674D0">
        <w:rPr>
          <w:rFonts w:ascii="Times" w:hAnsi="Times"/>
        </w:rPr>
        <w:t xml:space="preserve"> guiltless in respect of particular offence charged, though guilty of a lesser offence. </w:t>
      </w:r>
    </w:p>
    <w:p w14:paraId="755C6820" w14:textId="77777777" w:rsidR="00E00303" w:rsidRPr="00A70302" w:rsidRDefault="00E00303" w:rsidP="00335BBC">
      <w:pPr>
        <w:spacing w:line="360" w:lineRule="auto"/>
        <w:rPr>
          <w:rFonts w:ascii="Times" w:hAnsi="Times"/>
        </w:rPr>
      </w:pPr>
    </w:p>
    <w:p w14:paraId="75137A33" w14:textId="02855E64" w:rsidR="00E00303" w:rsidRPr="00F852ED" w:rsidRDefault="00E00303" w:rsidP="00335BBC">
      <w:pPr>
        <w:pStyle w:val="ListParagraph"/>
        <w:numPr>
          <w:ilvl w:val="0"/>
          <w:numId w:val="2"/>
        </w:numPr>
        <w:spacing w:line="360" w:lineRule="auto"/>
        <w:jc w:val="both"/>
        <w:rPr>
          <w:rFonts w:ascii="Times" w:hAnsi="Times"/>
          <w:i/>
          <w:iCs/>
        </w:rPr>
      </w:pPr>
      <w:r>
        <w:rPr>
          <w:rFonts w:ascii="Times" w:hAnsi="Times"/>
        </w:rPr>
        <w:t xml:space="preserve">It is </w:t>
      </w:r>
      <w:r w:rsidR="003E0540">
        <w:rPr>
          <w:rFonts w:ascii="Times" w:hAnsi="Times"/>
        </w:rPr>
        <w:t xml:space="preserve">respectfully </w:t>
      </w:r>
      <w:r>
        <w:rPr>
          <w:rFonts w:ascii="Times" w:hAnsi="Times"/>
        </w:rPr>
        <w:t>submitted that the essential test should be broader: as to whether a presumption of fact has the consequence that an accused can be convicted while a doubt remains about their guilt</w:t>
      </w:r>
      <w:r w:rsidR="00B96FD7">
        <w:rPr>
          <w:rFonts w:ascii="Times" w:hAnsi="Times"/>
        </w:rPr>
        <w:t xml:space="preserve"> in respect of the offence charged</w:t>
      </w:r>
      <w:r>
        <w:rPr>
          <w:rFonts w:ascii="Times" w:hAnsi="Times"/>
        </w:rPr>
        <w:t>. As noted by Dickson CJ</w:t>
      </w:r>
      <w:r w:rsidR="00955F4B">
        <w:rPr>
          <w:rFonts w:ascii="Times" w:hAnsi="Times"/>
        </w:rPr>
        <w:t>C</w:t>
      </w:r>
      <w:r>
        <w:rPr>
          <w:rFonts w:ascii="Times" w:hAnsi="Times"/>
        </w:rPr>
        <w:t xml:space="preserve"> in </w:t>
      </w:r>
      <w:r w:rsidR="00955F4B">
        <w:rPr>
          <w:rFonts w:ascii="Times" w:hAnsi="Times"/>
        </w:rPr>
        <w:t xml:space="preserve">the </w:t>
      </w:r>
      <w:r w:rsidR="003D7189">
        <w:rPr>
          <w:rFonts w:ascii="Times" w:hAnsi="Times"/>
        </w:rPr>
        <w:t xml:space="preserve">Canadian case of </w:t>
      </w:r>
      <w:r w:rsidRPr="00F852ED">
        <w:rPr>
          <w:rFonts w:ascii="Times" w:hAnsi="Times"/>
          <w:i/>
          <w:iCs/>
        </w:rPr>
        <w:t>R v Whyte</w:t>
      </w:r>
      <w:r w:rsidR="006B680A">
        <w:rPr>
          <w:rStyle w:val="FootnoteReference"/>
          <w:rFonts w:ascii="Times" w:hAnsi="Times"/>
          <w:i/>
          <w:iCs/>
        </w:rPr>
        <w:footnoteReference w:id="40"/>
      </w:r>
      <w:r>
        <w:rPr>
          <w:rFonts w:ascii="Times" w:hAnsi="Times"/>
        </w:rPr>
        <w:t xml:space="preserve">: </w:t>
      </w:r>
    </w:p>
    <w:p w14:paraId="0743E9FF" w14:textId="77777777" w:rsidR="00E00303" w:rsidRDefault="00E00303" w:rsidP="00335BBC">
      <w:pPr>
        <w:pStyle w:val="ListParagraph"/>
        <w:spacing w:line="360" w:lineRule="auto"/>
        <w:rPr>
          <w:rFonts w:ascii="Times" w:hAnsi="Times"/>
          <w:i/>
          <w:iCs/>
        </w:rPr>
      </w:pPr>
    </w:p>
    <w:p w14:paraId="53748BAA" w14:textId="22C9CFB5" w:rsidR="00E00303" w:rsidRDefault="00E00303" w:rsidP="00335BBC">
      <w:pPr>
        <w:pStyle w:val="ListParagraph"/>
        <w:spacing w:line="360" w:lineRule="auto"/>
        <w:jc w:val="both"/>
        <w:rPr>
          <w:rFonts w:ascii="Times" w:hAnsi="Times"/>
          <w:i/>
          <w:iCs/>
        </w:rPr>
      </w:pPr>
      <w:r>
        <w:rPr>
          <w:rFonts w:ascii="Times" w:hAnsi="Times"/>
          <w:i/>
          <w:iCs/>
        </w:rPr>
        <w:t>‘The real concern is not whether the accused must disprove an element or prove an excuse, but that an accused may be convicted while reasonable doubt exists. When that possibility exists, there is a breach of the presumption of innocence.’</w:t>
      </w:r>
    </w:p>
    <w:p w14:paraId="391EE328" w14:textId="77777777" w:rsidR="00E00303" w:rsidRPr="00863FA9" w:rsidRDefault="00E00303" w:rsidP="00335BBC">
      <w:pPr>
        <w:pStyle w:val="NoSpacing"/>
        <w:spacing w:line="360" w:lineRule="auto"/>
        <w:jc w:val="both"/>
        <w:rPr>
          <w:rFonts w:ascii="Times" w:eastAsia="Times New Roman" w:hAnsi="Times"/>
          <w:i/>
          <w:iCs/>
          <w:color w:val="000000" w:themeColor="text1"/>
          <w:lang w:val="en-IE" w:eastAsia="en-GB"/>
        </w:rPr>
      </w:pPr>
    </w:p>
    <w:p w14:paraId="70FD4CAC" w14:textId="4D897A69" w:rsidR="00E00303" w:rsidRDefault="00E00303" w:rsidP="00335BBC">
      <w:pPr>
        <w:pStyle w:val="ListParagraph"/>
        <w:numPr>
          <w:ilvl w:val="0"/>
          <w:numId w:val="2"/>
        </w:numPr>
        <w:shd w:val="clear" w:color="auto" w:fill="FFFFFF"/>
        <w:spacing w:after="100" w:afterAutospacing="1" w:line="360" w:lineRule="auto"/>
        <w:jc w:val="both"/>
        <w:rPr>
          <w:rFonts w:ascii="Times" w:hAnsi="Times"/>
          <w:color w:val="000000" w:themeColor="text1"/>
        </w:rPr>
      </w:pPr>
      <w:r>
        <w:rPr>
          <w:rFonts w:ascii="Times" w:hAnsi="Times"/>
          <w:color w:val="000000" w:themeColor="text1"/>
        </w:rPr>
        <w:t xml:space="preserve">Referring </w:t>
      </w:r>
      <w:r w:rsidR="00B96FD7">
        <w:rPr>
          <w:rFonts w:ascii="Times" w:hAnsi="Times"/>
          <w:color w:val="000000" w:themeColor="text1"/>
        </w:rPr>
        <w:t xml:space="preserve">with approval </w:t>
      </w:r>
      <w:r>
        <w:rPr>
          <w:rFonts w:ascii="Times" w:hAnsi="Times"/>
          <w:color w:val="000000" w:themeColor="text1"/>
        </w:rPr>
        <w:t xml:space="preserve">to </w:t>
      </w:r>
      <w:r w:rsidRPr="003A4ED1">
        <w:rPr>
          <w:rFonts w:ascii="Times" w:hAnsi="Times"/>
          <w:i/>
          <w:iCs/>
          <w:color w:val="000000" w:themeColor="text1"/>
        </w:rPr>
        <w:t>Whyte</w:t>
      </w:r>
      <w:r>
        <w:rPr>
          <w:rFonts w:ascii="Times" w:hAnsi="Times"/>
          <w:color w:val="000000" w:themeColor="text1"/>
        </w:rPr>
        <w:t xml:space="preserve"> in the UK</w:t>
      </w:r>
      <w:r w:rsidR="00354DDC">
        <w:rPr>
          <w:rFonts w:ascii="Times" w:hAnsi="Times"/>
          <w:color w:val="000000" w:themeColor="text1"/>
        </w:rPr>
        <w:t xml:space="preserve"> House of Lords</w:t>
      </w:r>
      <w:r>
        <w:rPr>
          <w:rFonts w:ascii="Times" w:hAnsi="Times"/>
          <w:color w:val="000000" w:themeColor="text1"/>
        </w:rPr>
        <w:t xml:space="preserve"> case of </w:t>
      </w:r>
      <w:r w:rsidRPr="003A4ED1">
        <w:rPr>
          <w:rFonts w:ascii="Times" w:hAnsi="Times"/>
          <w:i/>
          <w:iCs/>
          <w:color w:val="000000" w:themeColor="text1"/>
        </w:rPr>
        <w:t>R v Johnstone</w:t>
      </w:r>
      <w:r w:rsidR="006B680A">
        <w:rPr>
          <w:rStyle w:val="FootnoteReference"/>
          <w:rFonts w:ascii="Times" w:hAnsi="Times"/>
          <w:i/>
          <w:iCs/>
          <w:color w:val="000000" w:themeColor="text1"/>
        </w:rPr>
        <w:footnoteReference w:id="41"/>
      </w:r>
      <w:r>
        <w:rPr>
          <w:rFonts w:ascii="Times" w:hAnsi="Times"/>
          <w:color w:val="000000" w:themeColor="text1"/>
        </w:rPr>
        <w:t xml:space="preserve">, </w:t>
      </w:r>
      <w:r w:rsidR="00B5372C">
        <w:rPr>
          <w:rFonts w:ascii="Times" w:hAnsi="Times"/>
          <w:color w:val="000000" w:themeColor="text1"/>
        </w:rPr>
        <w:t xml:space="preserve">Lord </w:t>
      </w:r>
      <w:r>
        <w:rPr>
          <w:rFonts w:ascii="Times" w:hAnsi="Times"/>
          <w:color w:val="000000" w:themeColor="text1"/>
        </w:rPr>
        <w:t>Nicholls said:</w:t>
      </w:r>
    </w:p>
    <w:p w14:paraId="407345D7" w14:textId="77777777" w:rsidR="00E00303" w:rsidRPr="003A4ED1" w:rsidRDefault="00E00303" w:rsidP="00335BBC">
      <w:pPr>
        <w:pStyle w:val="ListParagraph"/>
        <w:shd w:val="clear" w:color="auto" w:fill="FFFFFF"/>
        <w:spacing w:after="100" w:afterAutospacing="1" w:line="360" w:lineRule="auto"/>
        <w:ind w:left="1080"/>
        <w:jc w:val="both"/>
        <w:rPr>
          <w:rFonts w:ascii="Times" w:hAnsi="Times"/>
          <w:i/>
          <w:iCs/>
          <w:color w:val="000000" w:themeColor="text1"/>
        </w:rPr>
      </w:pPr>
    </w:p>
    <w:p w14:paraId="2E5DE01B" w14:textId="7F676A99" w:rsidR="003D7189" w:rsidRDefault="00B96FD7" w:rsidP="00335BBC">
      <w:pPr>
        <w:pStyle w:val="ListParagraph"/>
        <w:shd w:val="clear" w:color="auto" w:fill="FFFFFF"/>
        <w:spacing w:after="100" w:afterAutospacing="1" w:line="360" w:lineRule="auto"/>
        <w:jc w:val="both"/>
        <w:rPr>
          <w:rFonts w:ascii="Times" w:hAnsi="Times"/>
          <w:i/>
          <w:iCs/>
          <w:color w:val="000000" w:themeColor="text1"/>
        </w:rPr>
      </w:pPr>
      <w:r>
        <w:rPr>
          <w:rFonts w:ascii="Times" w:hAnsi="Times"/>
          <w:i/>
          <w:iCs/>
          <w:color w:val="000000" w:themeColor="text1"/>
        </w:rPr>
        <w:t>‘</w:t>
      </w:r>
      <w:r w:rsidR="00E00303" w:rsidRPr="003A4ED1">
        <w:rPr>
          <w:rFonts w:ascii="Times" w:hAnsi="Times"/>
          <w:i/>
          <w:iCs/>
          <w:color w:val="000000" w:themeColor="text1"/>
        </w:rPr>
        <w:t>This consequence of a reverse burden of proof should colour one's approach when evaluating the reasons why it is said that, in the absence of a persuasive burden on the accused, the public interest will be prejudiced to an extent which justifies placing a persuasive burden on the accused.</w:t>
      </w:r>
      <w:r>
        <w:rPr>
          <w:rFonts w:ascii="Times" w:hAnsi="Times"/>
          <w:i/>
          <w:iCs/>
          <w:color w:val="000000" w:themeColor="text1"/>
        </w:rPr>
        <w:t>’</w:t>
      </w:r>
    </w:p>
    <w:p w14:paraId="3D717C13" w14:textId="77777777" w:rsidR="00BC6543" w:rsidRPr="00BC6543" w:rsidRDefault="00BC6543" w:rsidP="00335BBC">
      <w:pPr>
        <w:pStyle w:val="ListParagraph"/>
        <w:shd w:val="clear" w:color="auto" w:fill="FFFFFF"/>
        <w:spacing w:after="100" w:afterAutospacing="1" w:line="360" w:lineRule="auto"/>
        <w:jc w:val="both"/>
        <w:rPr>
          <w:rFonts w:ascii="Times" w:hAnsi="Times"/>
          <w:i/>
          <w:iCs/>
          <w:color w:val="000000" w:themeColor="text1"/>
        </w:rPr>
      </w:pPr>
    </w:p>
    <w:p w14:paraId="357992DF" w14:textId="74F9DD4A" w:rsidR="00BC6543" w:rsidRPr="00354DDC" w:rsidRDefault="00BC6543" w:rsidP="00335BBC">
      <w:pPr>
        <w:pStyle w:val="ListParagraph"/>
        <w:numPr>
          <w:ilvl w:val="0"/>
          <w:numId w:val="2"/>
        </w:numPr>
        <w:spacing w:line="360" w:lineRule="auto"/>
        <w:jc w:val="both"/>
        <w:rPr>
          <w:rFonts w:ascii="Times" w:hAnsi="Times"/>
          <w:i/>
          <w:iCs/>
        </w:rPr>
      </w:pPr>
      <w:r>
        <w:rPr>
          <w:rFonts w:ascii="Times" w:hAnsi="Times"/>
        </w:rPr>
        <w:t xml:space="preserve">In </w:t>
      </w:r>
      <w:r w:rsidRPr="00BC6543">
        <w:rPr>
          <w:rFonts w:ascii="Times" w:hAnsi="Times"/>
          <w:i/>
          <w:iCs/>
        </w:rPr>
        <w:t>Johnstone</w:t>
      </w:r>
      <w:r w:rsidR="00895D6B">
        <w:rPr>
          <w:rFonts w:ascii="Times" w:hAnsi="Times"/>
        </w:rPr>
        <w:t xml:space="preserve"> </w:t>
      </w:r>
      <w:r w:rsidR="00A1701F">
        <w:rPr>
          <w:rFonts w:ascii="Times" w:hAnsi="Times"/>
        </w:rPr>
        <w:t xml:space="preserve">a degree of </w:t>
      </w:r>
      <w:r>
        <w:rPr>
          <w:rFonts w:ascii="Times" w:hAnsi="Times"/>
        </w:rPr>
        <w:t xml:space="preserve">deference </w:t>
      </w:r>
      <w:r w:rsidR="00354DDC">
        <w:rPr>
          <w:rFonts w:ascii="Times" w:hAnsi="Times"/>
        </w:rPr>
        <w:t xml:space="preserve">was </w:t>
      </w:r>
      <w:r>
        <w:rPr>
          <w:rFonts w:ascii="Times" w:hAnsi="Times"/>
        </w:rPr>
        <w:t>afforded to the choice of Parliament</w:t>
      </w:r>
      <w:r w:rsidR="00354DDC">
        <w:rPr>
          <w:rFonts w:ascii="Times" w:hAnsi="Times"/>
        </w:rPr>
        <w:t xml:space="preserve">, in a manner that reflects the </w:t>
      </w:r>
      <w:r w:rsidR="00354DDC" w:rsidRPr="00354DDC">
        <w:rPr>
          <w:rFonts w:ascii="Times" w:hAnsi="Times"/>
          <w:i/>
          <w:iCs/>
        </w:rPr>
        <w:t>Tuohy v Courtney</w:t>
      </w:r>
      <w:r w:rsidR="00354DDC">
        <w:rPr>
          <w:rFonts w:ascii="Times" w:hAnsi="Times"/>
        </w:rPr>
        <w:t xml:space="preserve"> </w:t>
      </w:r>
      <w:r w:rsidR="00895D6B">
        <w:rPr>
          <w:rFonts w:ascii="Times" w:hAnsi="Times"/>
        </w:rPr>
        <w:t>standard of review</w:t>
      </w:r>
      <w:r w:rsidR="00354DDC">
        <w:rPr>
          <w:rFonts w:ascii="Times" w:hAnsi="Times"/>
        </w:rPr>
        <w:t xml:space="preserve">. </w:t>
      </w:r>
      <w:r w:rsidR="00A1701F">
        <w:rPr>
          <w:rFonts w:ascii="Times" w:hAnsi="Times"/>
        </w:rPr>
        <w:t xml:space="preserve">Even so, </w:t>
      </w:r>
      <w:r w:rsidR="00354DDC">
        <w:rPr>
          <w:rFonts w:ascii="Times" w:hAnsi="Times"/>
        </w:rPr>
        <w:t>Lord Nicholls said:</w:t>
      </w:r>
    </w:p>
    <w:p w14:paraId="5E96E2BD" w14:textId="77777777" w:rsidR="00354DDC" w:rsidRPr="00354DDC" w:rsidRDefault="00354DDC" w:rsidP="00335BBC">
      <w:pPr>
        <w:pStyle w:val="ListParagraph"/>
        <w:spacing w:line="360" w:lineRule="auto"/>
        <w:ind w:left="360"/>
        <w:jc w:val="both"/>
        <w:rPr>
          <w:rFonts w:ascii="Times" w:hAnsi="Times"/>
          <w:i/>
          <w:iCs/>
        </w:rPr>
      </w:pPr>
    </w:p>
    <w:p w14:paraId="62111322" w14:textId="44025D8E" w:rsidR="00354DDC" w:rsidRPr="00354DDC" w:rsidRDefault="00A1701F" w:rsidP="00335BBC">
      <w:pPr>
        <w:pStyle w:val="NormalWeb"/>
        <w:shd w:val="clear" w:color="auto" w:fill="FFFFFF"/>
        <w:spacing w:before="0" w:beforeAutospacing="0" w:after="180" w:afterAutospacing="0" w:line="360" w:lineRule="auto"/>
        <w:ind w:left="720"/>
        <w:jc w:val="both"/>
        <w:rPr>
          <w:rFonts w:ascii="Times" w:hAnsi="Times"/>
          <w:i/>
          <w:iCs/>
          <w:color w:val="000000" w:themeColor="text1"/>
        </w:rPr>
      </w:pPr>
      <w:r>
        <w:rPr>
          <w:rFonts w:ascii="Times" w:hAnsi="Times"/>
          <w:i/>
          <w:iCs/>
          <w:color w:val="000000" w:themeColor="text1"/>
        </w:rPr>
        <w:t>‘</w:t>
      </w:r>
      <w:r w:rsidR="00354DDC" w:rsidRPr="00354DDC">
        <w:rPr>
          <w:rFonts w:ascii="Times" w:hAnsi="Times"/>
          <w:i/>
          <w:iCs/>
          <w:color w:val="000000" w:themeColor="text1"/>
        </w:rPr>
        <w:t>The court will reach a different conclusion from the legislature only when it is apparent the legislature has attached insufficient importance to the fundamental right of an individual to be presumed innocent until proved guilty.</w:t>
      </w:r>
      <w:r w:rsidR="00354DDC">
        <w:rPr>
          <w:rFonts w:ascii="Times" w:hAnsi="Times"/>
          <w:i/>
          <w:iCs/>
          <w:color w:val="000000" w:themeColor="text1"/>
        </w:rPr>
        <w:t>’</w:t>
      </w:r>
    </w:p>
    <w:p w14:paraId="053A2B25" w14:textId="618B8489" w:rsidR="00A1701F" w:rsidRPr="00335BBC" w:rsidRDefault="00A1701F" w:rsidP="00335BBC">
      <w:pPr>
        <w:pStyle w:val="ListParagraph"/>
        <w:numPr>
          <w:ilvl w:val="0"/>
          <w:numId w:val="2"/>
        </w:numPr>
        <w:shd w:val="clear" w:color="auto" w:fill="FFFFFF"/>
        <w:spacing w:after="100" w:afterAutospacing="1" w:line="360" w:lineRule="auto"/>
        <w:jc w:val="both"/>
        <w:rPr>
          <w:rFonts w:ascii="Times" w:hAnsi="Times"/>
          <w:i/>
          <w:iCs/>
          <w:color w:val="000000" w:themeColor="text1"/>
        </w:rPr>
      </w:pPr>
      <w:r>
        <w:rPr>
          <w:rFonts w:ascii="Times" w:hAnsi="Times"/>
          <w:color w:val="000000" w:themeColor="text1"/>
        </w:rPr>
        <w:t>T</w:t>
      </w:r>
      <w:r w:rsidR="00354DDC" w:rsidRPr="00354DDC">
        <w:rPr>
          <w:rFonts w:ascii="Times" w:hAnsi="Times"/>
          <w:color w:val="000000" w:themeColor="text1"/>
        </w:rPr>
        <w:t xml:space="preserve">he House of Lords concluded </w:t>
      </w:r>
      <w:r w:rsidR="00354DDC">
        <w:rPr>
          <w:rFonts w:ascii="Times" w:hAnsi="Times"/>
          <w:color w:val="000000" w:themeColor="text1"/>
        </w:rPr>
        <w:t>that:</w:t>
      </w:r>
    </w:p>
    <w:p w14:paraId="492FBDDE" w14:textId="77777777" w:rsidR="00A1701F" w:rsidRPr="00335BBC" w:rsidRDefault="00A1701F" w:rsidP="00335BBC">
      <w:pPr>
        <w:pStyle w:val="ListParagraph"/>
        <w:shd w:val="clear" w:color="auto" w:fill="FFFFFF"/>
        <w:spacing w:after="100" w:afterAutospacing="1" w:line="360" w:lineRule="auto"/>
        <w:ind w:left="360"/>
        <w:jc w:val="both"/>
        <w:rPr>
          <w:rFonts w:ascii="Times" w:hAnsi="Times"/>
          <w:i/>
          <w:iCs/>
          <w:color w:val="000000" w:themeColor="text1"/>
        </w:rPr>
      </w:pPr>
    </w:p>
    <w:p w14:paraId="44F6C215" w14:textId="40685F33" w:rsidR="00354DDC" w:rsidRPr="00354DDC" w:rsidRDefault="00354DDC" w:rsidP="00335BBC">
      <w:pPr>
        <w:pStyle w:val="ListParagraph"/>
        <w:shd w:val="clear" w:color="auto" w:fill="FFFFFF"/>
        <w:spacing w:after="100" w:afterAutospacing="1" w:line="360" w:lineRule="auto"/>
        <w:jc w:val="both"/>
        <w:rPr>
          <w:rFonts w:ascii="Times" w:hAnsi="Times"/>
          <w:i/>
          <w:iCs/>
          <w:color w:val="000000" w:themeColor="text1"/>
        </w:rPr>
      </w:pPr>
      <w:r>
        <w:rPr>
          <w:rFonts w:ascii="Times" w:hAnsi="Times"/>
          <w:color w:val="000000" w:themeColor="text1"/>
        </w:rPr>
        <w:lastRenderedPageBreak/>
        <w:t>‘</w:t>
      </w:r>
      <w:r w:rsidRPr="00354DDC">
        <w:rPr>
          <w:rFonts w:ascii="Times" w:hAnsi="Times"/>
          <w:i/>
          <w:iCs/>
          <w:color w:val="000000" w:themeColor="text1"/>
          <w:shd w:val="clear" w:color="auto" w:fill="FFFFFF"/>
        </w:rPr>
        <w:t>there must be a compelling reason why it is fair and reasonable to deny the accused person the protection normally guaranteed to everyone by the presumption of innocence</w:t>
      </w:r>
      <w:r>
        <w:rPr>
          <w:rFonts w:ascii="Times" w:hAnsi="Times"/>
          <w:i/>
          <w:iCs/>
          <w:color w:val="000000" w:themeColor="text1"/>
          <w:shd w:val="clear" w:color="auto" w:fill="FFFFFF"/>
        </w:rPr>
        <w:t>.’</w:t>
      </w:r>
    </w:p>
    <w:p w14:paraId="28FFFA77" w14:textId="77777777" w:rsidR="00354DDC" w:rsidRPr="00354DDC" w:rsidRDefault="00354DDC" w:rsidP="00335BBC">
      <w:pPr>
        <w:pStyle w:val="ListParagraph"/>
        <w:shd w:val="clear" w:color="auto" w:fill="FFFFFF"/>
        <w:spacing w:after="100" w:afterAutospacing="1" w:line="360" w:lineRule="auto"/>
        <w:ind w:left="360"/>
        <w:jc w:val="both"/>
        <w:rPr>
          <w:rFonts w:ascii="Times" w:hAnsi="Times"/>
          <w:i/>
          <w:iCs/>
          <w:color w:val="000000" w:themeColor="text1"/>
        </w:rPr>
      </w:pPr>
    </w:p>
    <w:p w14:paraId="3EDDCA33" w14:textId="3C125135" w:rsidR="0046334C" w:rsidRPr="0046334C" w:rsidRDefault="00354DDC" w:rsidP="00335BBC">
      <w:pPr>
        <w:pStyle w:val="ListParagraph"/>
        <w:numPr>
          <w:ilvl w:val="0"/>
          <w:numId w:val="2"/>
        </w:numPr>
        <w:shd w:val="clear" w:color="auto" w:fill="FFFFFF"/>
        <w:spacing w:after="100" w:afterAutospacing="1" w:line="360" w:lineRule="auto"/>
        <w:jc w:val="both"/>
        <w:rPr>
          <w:rFonts w:ascii="Times" w:hAnsi="Times"/>
          <w:i/>
          <w:iCs/>
          <w:color w:val="000000" w:themeColor="text1"/>
        </w:rPr>
      </w:pPr>
      <w:r>
        <w:rPr>
          <w:rFonts w:ascii="Times" w:hAnsi="Times"/>
          <w:color w:val="000000" w:themeColor="text1"/>
          <w:shd w:val="clear" w:color="auto" w:fill="FFFFFF"/>
        </w:rPr>
        <w:t xml:space="preserve">It is submitted that </w:t>
      </w:r>
      <w:r w:rsidR="00BF5628">
        <w:rPr>
          <w:rFonts w:ascii="Times" w:hAnsi="Times"/>
          <w:color w:val="000000" w:themeColor="text1"/>
          <w:shd w:val="clear" w:color="auto" w:fill="FFFFFF"/>
        </w:rPr>
        <w:t>thi</w:t>
      </w:r>
      <w:r>
        <w:rPr>
          <w:rFonts w:ascii="Times" w:hAnsi="Times"/>
          <w:color w:val="000000" w:themeColor="text1"/>
          <w:shd w:val="clear" w:color="auto" w:fill="FFFFFF"/>
        </w:rPr>
        <w:t xml:space="preserve">s </w:t>
      </w:r>
      <w:r w:rsidR="00392A77">
        <w:rPr>
          <w:rFonts w:ascii="Times" w:hAnsi="Times"/>
          <w:color w:val="000000" w:themeColor="text1"/>
          <w:shd w:val="clear" w:color="auto" w:fill="FFFFFF"/>
        </w:rPr>
        <w:t xml:space="preserve">is </w:t>
      </w:r>
      <w:r>
        <w:rPr>
          <w:rFonts w:ascii="Times" w:hAnsi="Times"/>
          <w:color w:val="000000" w:themeColor="text1"/>
          <w:shd w:val="clear" w:color="auto" w:fill="FFFFFF"/>
        </w:rPr>
        <w:t xml:space="preserve">the </w:t>
      </w:r>
      <w:r w:rsidR="00674C2A">
        <w:rPr>
          <w:rFonts w:ascii="Times" w:hAnsi="Times"/>
          <w:color w:val="000000" w:themeColor="text1"/>
          <w:shd w:val="clear" w:color="auto" w:fill="FFFFFF"/>
        </w:rPr>
        <w:t xml:space="preserve">minimum </w:t>
      </w:r>
      <w:r>
        <w:rPr>
          <w:rFonts w:ascii="Times" w:hAnsi="Times"/>
          <w:color w:val="000000" w:themeColor="text1"/>
          <w:shd w:val="clear" w:color="auto" w:fill="FFFFFF"/>
        </w:rPr>
        <w:t xml:space="preserve">standard of review, for a statute that reverses the legal burden of proof. </w:t>
      </w:r>
      <w:r w:rsidR="00E90E03">
        <w:rPr>
          <w:rFonts w:ascii="Times" w:hAnsi="Times"/>
          <w:color w:val="000000" w:themeColor="text1"/>
          <w:shd w:val="clear" w:color="auto" w:fill="FFFFFF"/>
        </w:rPr>
        <w:t>D</w:t>
      </w:r>
      <w:r>
        <w:rPr>
          <w:rFonts w:ascii="Times" w:hAnsi="Times"/>
          <w:color w:val="000000" w:themeColor="text1"/>
          <w:shd w:val="clear" w:color="auto" w:fill="FFFFFF"/>
        </w:rPr>
        <w:t>efe</w:t>
      </w:r>
      <w:r w:rsidR="00E90E03">
        <w:rPr>
          <w:rFonts w:ascii="Times" w:hAnsi="Times"/>
          <w:color w:val="000000" w:themeColor="text1"/>
          <w:shd w:val="clear" w:color="auto" w:fill="FFFFFF"/>
        </w:rPr>
        <w:t>re</w:t>
      </w:r>
      <w:r>
        <w:rPr>
          <w:rFonts w:ascii="Times" w:hAnsi="Times"/>
          <w:color w:val="000000" w:themeColor="text1"/>
          <w:shd w:val="clear" w:color="auto" w:fill="FFFFFF"/>
        </w:rPr>
        <w:t xml:space="preserve">nce </w:t>
      </w:r>
      <w:r w:rsidR="00E90E03">
        <w:rPr>
          <w:rFonts w:ascii="Times" w:hAnsi="Times"/>
          <w:color w:val="000000" w:themeColor="text1"/>
          <w:shd w:val="clear" w:color="auto" w:fill="FFFFFF"/>
        </w:rPr>
        <w:t xml:space="preserve">to the choice of the Oireachtas is appropriate, </w:t>
      </w:r>
      <w:r w:rsidR="00BF5628">
        <w:rPr>
          <w:rFonts w:ascii="Times" w:hAnsi="Times"/>
          <w:color w:val="000000" w:themeColor="text1"/>
          <w:shd w:val="clear" w:color="auto" w:fill="FFFFFF"/>
        </w:rPr>
        <w:t>having regard to</w:t>
      </w:r>
      <w:r w:rsidR="00E90E03">
        <w:rPr>
          <w:rFonts w:ascii="Times" w:hAnsi="Times"/>
          <w:color w:val="000000" w:themeColor="text1"/>
          <w:shd w:val="clear" w:color="auto" w:fill="FFFFFF"/>
        </w:rPr>
        <w:t xml:space="preserve"> the presumption of constitutionality and the separation of power</w:t>
      </w:r>
      <w:r>
        <w:rPr>
          <w:rFonts w:ascii="Times" w:hAnsi="Times"/>
          <w:color w:val="000000" w:themeColor="text1"/>
          <w:shd w:val="clear" w:color="auto" w:fill="FFFFFF"/>
        </w:rPr>
        <w:t>,</w:t>
      </w:r>
      <w:r w:rsidR="00E90E03">
        <w:rPr>
          <w:rFonts w:ascii="Times" w:hAnsi="Times"/>
          <w:color w:val="000000" w:themeColor="text1"/>
          <w:shd w:val="clear" w:color="auto" w:fill="FFFFFF"/>
        </w:rPr>
        <w:t xml:space="preserve"> but there </w:t>
      </w:r>
      <w:r w:rsidR="0046334C">
        <w:rPr>
          <w:rFonts w:ascii="Times" w:hAnsi="Times"/>
          <w:color w:val="000000" w:themeColor="text1"/>
          <w:shd w:val="clear" w:color="auto" w:fill="FFFFFF"/>
        </w:rPr>
        <w:t xml:space="preserve">must </w:t>
      </w:r>
      <w:r w:rsidR="00392A77">
        <w:rPr>
          <w:rFonts w:ascii="Times" w:hAnsi="Times"/>
          <w:color w:val="000000" w:themeColor="text1"/>
          <w:shd w:val="clear" w:color="auto" w:fill="FFFFFF"/>
        </w:rPr>
        <w:t xml:space="preserve">still </w:t>
      </w:r>
      <w:r w:rsidR="0046334C">
        <w:rPr>
          <w:rFonts w:ascii="Times" w:hAnsi="Times"/>
          <w:color w:val="000000" w:themeColor="text1"/>
          <w:shd w:val="clear" w:color="auto" w:fill="FFFFFF"/>
        </w:rPr>
        <w:t>be</w:t>
      </w:r>
      <w:r w:rsidR="00E90E03">
        <w:rPr>
          <w:rFonts w:ascii="Times" w:hAnsi="Times"/>
          <w:color w:val="000000" w:themeColor="text1"/>
          <w:shd w:val="clear" w:color="auto" w:fill="FFFFFF"/>
        </w:rPr>
        <w:t xml:space="preserve"> a </w:t>
      </w:r>
      <w:r w:rsidR="00392A77">
        <w:rPr>
          <w:rFonts w:ascii="Times" w:hAnsi="Times"/>
          <w:color w:val="000000" w:themeColor="text1"/>
          <w:shd w:val="clear" w:color="auto" w:fill="FFFFFF"/>
        </w:rPr>
        <w:t xml:space="preserve">very </w:t>
      </w:r>
      <w:r w:rsidR="00E90E03">
        <w:rPr>
          <w:rFonts w:ascii="Times" w:hAnsi="Times"/>
          <w:color w:val="000000" w:themeColor="text1"/>
          <w:shd w:val="clear" w:color="auto" w:fill="FFFFFF"/>
        </w:rPr>
        <w:t>constrained range of circumstances in which such reversal will be permissible</w:t>
      </w:r>
      <w:r w:rsidR="00392A77">
        <w:rPr>
          <w:rFonts w:ascii="Times" w:hAnsi="Times"/>
          <w:color w:val="000000" w:themeColor="text1"/>
          <w:shd w:val="clear" w:color="auto" w:fill="FFFFFF"/>
        </w:rPr>
        <w:t xml:space="preserve"> and the courts will assess this in a rigorous way.</w:t>
      </w:r>
    </w:p>
    <w:p w14:paraId="5DA2ED1A" w14:textId="77777777" w:rsidR="0046334C" w:rsidRPr="0046334C" w:rsidRDefault="0046334C" w:rsidP="00335BBC">
      <w:pPr>
        <w:pStyle w:val="ListParagraph"/>
        <w:spacing w:line="360" w:lineRule="auto"/>
        <w:rPr>
          <w:rFonts w:ascii="Times" w:hAnsi="Times"/>
          <w:color w:val="000000" w:themeColor="text1"/>
          <w:shd w:val="clear" w:color="auto" w:fill="FFFFFF"/>
        </w:rPr>
      </w:pPr>
    </w:p>
    <w:p w14:paraId="2938EB8F" w14:textId="639FFB27" w:rsidR="0046334C" w:rsidRPr="00464E09" w:rsidRDefault="0046334C" w:rsidP="00335BBC">
      <w:pPr>
        <w:pStyle w:val="ListParagraph"/>
        <w:numPr>
          <w:ilvl w:val="0"/>
          <w:numId w:val="2"/>
        </w:numPr>
        <w:spacing w:line="360" w:lineRule="auto"/>
        <w:jc w:val="both"/>
        <w:rPr>
          <w:rFonts w:ascii="Times" w:hAnsi="Times"/>
          <w:i/>
          <w:iCs/>
        </w:rPr>
      </w:pPr>
      <w:r>
        <w:rPr>
          <w:rFonts w:ascii="Times" w:hAnsi="Times"/>
        </w:rPr>
        <w:t>The application of such exacting standards is not universal across the common law world</w:t>
      </w:r>
      <w:r w:rsidR="00BF5628">
        <w:rPr>
          <w:rFonts w:ascii="Times" w:hAnsi="Times"/>
        </w:rPr>
        <w:t>, however</w:t>
      </w:r>
      <w:r>
        <w:rPr>
          <w:rFonts w:ascii="Times" w:hAnsi="Times"/>
        </w:rPr>
        <w:t xml:space="preserve">. In Australia, the transfer of the legal burden to an accused </w:t>
      </w:r>
      <w:r w:rsidR="00392A77">
        <w:rPr>
          <w:rFonts w:ascii="Times" w:hAnsi="Times"/>
        </w:rPr>
        <w:t>to disprove</w:t>
      </w:r>
      <w:r w:rsidR="00BF5628">
        <w:rPr>
          <w:rFonts w:ascii="Times" w:hAnsi="Times"/>
        </w:rPr>
        <w:t xml:space="preserve"> </w:t>
      </w:r>
      <w:r w:rsidR="00392A77">
        <w:rPr>
          <w:rFonts w:ascii="Times" w:hAnsi="Times"/>
        </w:rPr>
        <w:t xml:space="preserve">their </w:t>
      </w:r>
      <w:r>
        <w:rPr>
          <w:rFonts w:ascii="Times" w:hAnsi="Times"/>
        </w:rPr>
        <w:t xml:space="preserve">knowledge of drug possession has been permitted, in a manner which </w:t>
      </w:r>
      <w:r w:rsidR="00BF5628">
        <w:rPr>
          <w:rFonts w:ascii="Times" w:hAnsi="Times"/>
        </w:rPr>
        <w:t>appears</w:t>
      </w:r>
      <w:r>
        <w:rPr>
          <w:rFonts w:ascii="Times" w:hAnsi="Times"/>
        </w:rPr>
        <w:t xml:space="preserve"> out of step with similar provisions in Ireland and most other jurisdictions. This burden was justified on a rather pragmatic basis by the High Court of Australia in </w:t>
      </w:r>
      <w:r w:rsidRPr="003703D0">
        <w:rPr>
          <w:rFonts w:ascii="Times" w:hAnsi="Times"/>
          <w:i/>
          <w:iCs/>
        </w:rPr>
        <w:t>Momcilovic</w:t>
      </w:r>
      <w:r>
        <w:rPr>
          <w:rFonts w:ascii="Times" w:hAnsi="Times"/>
          <w:i/>
          <w:iCs/>
        </w:rPr>
        <w:t xml:space="preserve"> v the Queen</w:t>
      </w:r>
      <w:r w:rsidR="006B680A">
        <w:rPr>
          <w:rStyle w:val="FootnoteReference"/>
          <w:rFonts w:ascii="Times" w:hAnsi="Times"/>
          <w:i/>
          <w:iCs/>
        </w:rPr>
        <w:footnoteReference w:id="42"/>
      </w:r>
      <w:r>
        <w:rPr>
          <w:rFonts w:ascii="Times" w:hAnsi="Times"/>
          <w:i/>
          <w:iCs/>
        </w:rPr>
        <w:t>.</w:t>
      </w:r>
      <w:r w:rsidRPr="00B956F7">
        <w:rPr>
          <w:rFonts w:ascii="Times" w:hAnsi="Times"/>
        </w:rPr>
        <w:t xml:space="preserve"> Heydon J noted that while the placement of the legal burden on the defendant in relation to the possession of drugs m</w:t>
      </w:r>
      <w:r>
        <w:rPr>
          <w:rFonts w:ascii="Times" w:hAnsi="Times"/>
        </w:rPr>
        <w:t>ight</w:t>
      </w:r>
      <w:r w:rsidRPr="00B956F7">
        <w:rPr>
          <w:rFonts w:ascii="Times" w:hAnsi="Times"/>
        </w:rPr>
        <w:t xml:space="preserve"> be </w:t>
      </w:r>
      <w:r>
        <w:rPr>
          <w:rFonts w:ascii="Times" w:hAnsi="Times"/>
          <w:i/>
          <w:iCs/>
        </w:rPr>
        <w:t xml:space="preserve">‘unpalatable’, </w:t>
      </w:r>
      <w:r w:rsidRPr="00B956F7">
        <w:rPr>
          <w:rFonts w:ascii="Times" w:hAnsi="Times"/>
        </w:rPr>
        <w:t>doing so</w:t>
      </w:r>
      <w:r>
        <w:rPr>
          <w:rFonts w:ascii="Times" w:hAnsi="Times"/>
        </w:rPr>
        <w:t xml:space="preserve"> increased </w:t>
      </w:r>
      <w:r w:rsidRPr="00BF5628">
        <w:rPr>
          <w:rFonts w:ascii="Times" w:hAnsi="Times"/>
          <w:i/>
          <w:iCs/>
          <w:color w:val="000000" w:themeColor="text1"/>
        </w:rPr>
        <w:t>‘the likelihood of the accused entering the witness box more than a reverse evidential burden would’</w:t>
      </w:r>
      <w:r w:rsidRPr="00BF5628">
        <w:rPr>
          <w:rFonts w:ascii="Times" w:hAnsi="Times"/>
          <w:color w:val="000000" w:themeColor="text1"/>
        </w:rPr>
        <w:t>.</w:t>
      </w:r>
      <w:r w:rsidR="00E57E8A">
        <w:rPr>
          <w:rStyle w:val="FootnoteReference"/>
          <w:rFonts w:ascii="Times" w:hAnsi="Times"/>
          <w:color w:val="000000" w:themeColor="text1"/>
        </w:rPr>
        <w:footnoteReference w:id="43"/>
      </w:r>
      <w:r w:rsidRPr="00BF5628">
        <w:rPr>
          <w:rFonts w:ascii="Times" w:hAnsi="Times"/>
          <w:color w:val="000000" w:themeColor="text1"/>
        </w:rPr>
        <w:t xml:space="preserve"> </w:t>
      </w:r>
    </w:p>
    <w:p w14:paraId="07B19D34" w14:textId="77777777" w:rsidR="0046334C" w:rsidRPr="00BF5628" w:rsidRDefault="0046334C" w:rsidP="00335BBC">
      <w:pPr>
        <w:pStyle w:val="ListParagraph"/>
        <w:spacing w:line="360" w:lineRule="auto"/>
        <w:rPr>
          <w:rFonts w:ascii="Times" w:hAnsi="Times"/>
          <w:color w:val="000000" w:themeColor="text1"/>
        </w:rPr>
      </w:pPr>
    </w:p>
    <w:p w14:paraId="7DA0FFD4" w14:textId="3B085158" w:rsidR="00C11A29" w:rsidRPr="00335BBC" w:rsidRDefault="00F864C2" w:rsidP="00E3746D">
      <w:pPr>
        <w:pStyle w:val="Heading1"/>
      </w:pPr>
      <w:bookmarkStart w:id="10" w:name="_Toc128532596"/>
      <w:r w:rsidRPr="00335BBC">
        <w:t>The special case of mental disorder</w:t>
      </w:r>
      <w:bookmarkEnd w:id="10"/>
    </w:p>
    <w:p w14:paraId="24835DBB" w14:textId="77777777" w:rsidR="00C11A29" w:rsidRPr="00354DDC" w:rsidRDefault="00C11A29" w:rsidP="00335BBC">
      <w:pPr>
        <w:pStyle w:val="ListParagraph"/>
        <w:spacing w:line="360" w:lineRule="auto"/>
        <w:ind w:left="360"/>
        <w:jc w:val="both"/>
        <w:rPr>
          <w:rFonts w:ascii="Times" w:hAnsi="Times"/>
          <w:i/>
          <w:iCs/>
        </w:rPr>
      </w:pPr>
    </w:p>
    <w:p w14:paraId="0F736627" w14:textId="77777777" w:rsidR="003A29DD" w:rsidRPr="003A29DD" w:rsidRDefault="00C11A29" w:rsidP="00335BBC">
      <w:pPr>
        <w:pStyle w:val="ListParagraph"/>
        <w:numPr>
          <w:ilvl w:val="0"/>
          <w:numId w:val="2"/>
        </w:numPr>
        <w:spacing w:line="360" w:lineRule="auto"/>
        <w:jc w:val="both"/>
        <w:rPr>
          <w:rFonts w:ascii="Times" w:hAnsi="Times"/>
          <w:i/>
          <w:iCs/>
        </w:rPr>
      </w:pPr>
      <w:r>
        <w:rPr>
          <w:rFonts w:ascii="Times" w:hAnsi="Times"/>
        </w:rPr>
        <w:t xml:space="preserve">While </w:t>
      </w:r>
      <w:r w:rsidR="004E57D3">
        <w:rPr>
          <w:rFonts w:ascii="Times" w:hAnsi="Times"/>
        </w:rPr>
        <w:t>the Learned High Court Judge</w:t>
      </w:r>
      <w:r>
        <w:rPr>
          <w:rFonts w:ascii="Times" w:hAnsi="Times"/>
        </w:rPr>
        <w:t xml:space="preserve"> drew a distinction </w:t>
      </w:r>
      <w:r w:rsidR="003B795F">
        <w:rPr>
          <w:rFonts w:ascii="Times" w:hAnsi="Times"/>
        </w:rPr>
        <w:t>between the impugned section and other reverse onus provisions which do not relate to an element of the offence</w:t>
      </w:r>
      <w:r w:rsidR="003A29DD">
        <w:rPr>
          <w:rFonts w:ascii="Times" w:hAnsi="Times"/>
        </w:rPr>
        <w:t xml:space="preserve"> itself</w:t>
      </w:r>
      <w:r w:rsidR="003B795F">
        <w:rPr>
          <w:rFonts w:ascii="Times" w:hAnsi="Times"/>
        </w:rPr>
        <w:t xml:space="preserve">, </w:t>
      </w:r>
      <w:r>
        <w:rPr>
          <w:rFonts w:ascii="Times" w:hAnsi="Times"/>
        </w:rPr>
        <w:t>t</w:t>
      </w:r>
      <w:r w:rsidRPr="00DC0FBD">
        <w:rPr>
          <w:rFonts w:ascii="Times" w:hAnsi="Times"/>
        </w:rPr>
        <w:t xml:space="preserve">ransfer of the legal burden </w:t>
      </w:r>
      <w:r>
        <w:rPr>
          <w:rFonts w:ascii="Times" w:hAnsi="Times"/>
        </w:rPr>
        <w:t xml:space="preserve">to disprove a core element </w:t>
      </w:r>
      <w:r w:rsidR="003B795F">
        <w:rPr>
          <w:rFonts w:ascii="Times" w:hAnsi="Times"/>
        </w:rPr>
        <w:t xml:space="preserve">of an offence </w:t>
      </w:r>
      <w:r w:rsidR="00F32BF1">
        <w:rPr>
          <w:rFonts w:ascii="Times" w:hAnsi="Times"/>
        </w:rPr>
        <w:t xml:space="preserve">does </w:t>
      </w:r>
      <w:r w:rsidR="003B795F">
        <w:rPr>
          <w:rFonts w:ascii="Times" w:hAnsi="Times"/>
        </w:rPr>
        <w:t>occur</w:t>
      </w:r>
      <w:r w:rsidRPr="00DC0FBD">
        <w:rPr>
          <w:rFonts w:ascii="Times" w:hAnsi="Times"/>
        </w:rPr>
        <w:t xml:space="preserve"> </w:t>
      </w:r>
      <w:r w:rsidR="003B795F">
        <w:rPr>
          <w:rFonts w:ascii="Times" w:hAnsi="Times"/>
        </w:rPr>
        <w:t>in</w:t>
      </w:r>
      <w:r>
        <w:rPr>
          <w:rFonts w:ascii="Times" w:hAnsi="Times"/>
        </w:rPr>
        <w:t xml:space="preserve"> Irish </w:t>
      </w:r>
      <w:r w:rsidR="004E57D3">
        <w:rPr>
          <w:rFonts w:ascii="Times" w:hAnsi="Times"/>
        </w:rPr>
        <w:t>l</w:t>
      </w:r>
      <w:r>
        <w:rPr>
          <w:rFonts w:ascii="Times" w:hAnsi="Times"/>
        </w:rPr>
        <w:t>aw</w:t>
      </w:r>
      <w:r w:rsidR="003B795F">
        <w:rPr>
          <w:rFonts w:ascii="Times" w:hAnsi="Times"/>
        </w:rPr>
        <w:t>,</w:t>
      </w:r>
      <w:r>
        <w:rPr>
          <w:rFonts w:ascii="Times" w:hAnsi="Times"/>
        </w:rPr>
        <w:t xml:space="preserve"> </w:t>
      </w:r>
      <w:r w:rsidRPr="00DC0FBD">
        <w:rPr>
          <w:rFonts w:ascii="Times" w:hAnsi="Times"/>
        </w:rPr>
        <w:t xml:space="preserve">in at least one context. </w:t>
      </w:r>
    </w:p>
    <w:p w14:paraId="1F7B7FF8" w14:textId="77777777" w:rsidR="003A29DD" w:rsidRPr="003A29DD" w:rsidRDefault="003A29DD" w:rsidP="00335BBC">
      <w:pPr>
        <w:pStyle w:val="ListParagraph"/>
        <w:spacing w:line="360" w:lineRule="auto"/>
        <w:ind w:left="360"/>
        <w:jc w:val="both"/>
        <w:rPr>
          <w:rFonts w:ascii="Times" w:hAnsi="Times"/>
          <w:i/>
          <w:iCs/>
        </w:rPr>
      </w:pPr>
    </w:p>
    <w:p w14:paraId="5EAF9032" w14:textId="59229A04" w:rsidR="00C11A29" w:rsidRPr="001E0CC9" w:rsidRDefault="00C11A29" w:rsidP="00335BBC">
      <w:pPr>
        <w:pStyle w:val="ListParagraph"/>
        <w:numPr>
          <w:ilvl w:val="0"/>
          <w:numId w:val="2"/>
        </w:numPr>
        <w:spacing w:line="360" w:lineRule="auto"/>
        <w:jc w:val="both"/>
        <w:rPr>
          <w:rFonts w:ascii="Times" w:hAnsi="Times"/>
          <w:i/>
          <w:iCs/>
        </w:rPr>
      </w:pPr>
      <w:r>
        <w:rPr>
          <w:rFonts w:ascii="Times" w:hAnsi="Times"/>
        </w:rPr>
        <w:lastRenderedPageBreak/>
        <w:t>Unlike diminished responsibility, the defence of insanity negative</w:t>
      </w:r>
      <w:r w:rsidR="00F32BF1">
        <w:rPr>
          <w:rFonts w:ascii="Times" w:hAnsi="Times"/>
        </w:rPr>
        <w:t>s</w:t>
      </w:r>
      <w:r>
        <w:rPr>
          <w:rFonts w:ascii="Times" w:hAnsi="Times"/>
        </w:rPr>
        <w:t xml:space="preserve"> </w:t>
      </w:r>
      <w:r w:rsidRPr="00CC148E">
        <w:rPr>
          <w:rFonts w:ascii="Times" w:hAnsi="Times"/>
          <w:i/>
          <w:iCs/>
        </w:rPr>
        <w:t>mens rea</w:t>
      </w:r>
      <w:r w:rsidR="003B795F">
        <w:rPr>
          <w:rFonts w:ascii="Times" w:hAnsi="Times"/>
        </w:rPr>
        <w:t>.</w:t>
      </w:r>
      <w:r>
        <w:rPr>
          <w:rFonts w:ascii="Times" w:hAnsi="Times"/>
        </w:rPr>
        <w:t xml:space="preserve"> This is clear from the Judgment of this Honourable Court in </w:t>
      </w:r>
      <w:r w:rsidRPr="00CC148E">
        <w:rPr>
          <w:rFonts w:ascii="Times" w:hAnsi="Times"/>
          <w:i/>
          <w:iCs/>
        </w:rPr>
        <w:t>Abdi v DPP</w:t>
      </w:r>
      <w:r>
        <w:rPr>
          <w:rFonts w:ascii="Times" w:hAnsi="Times"/>
        </w:rPr>
        <w:t xml:space="preserve"> where Charleton J held as follows:</w:t>
      </w:r>
    </w:p>
    <w:p w14:paraId="103BB006" w14:textId="77777777" w:rsidR="00C11A29" w:rsidRDefault="00C11A29" w:rsidP="00335BBC">
      <w:pPr>
        <w:pStyle w:val="ListParagraph"/>
        <w:spacing w:line="360" w:lineRule="auto"/>
        <w:ind w:left="360"/>
        <w:jc w:val="both"/>
        <w:rPr>
          <w:rFonts w:ascii="Times" w:hAnsi="Times"/>
        </w:rPr>
      </w:pPr>
    </w:p>
    <w:p w14:paraId="5CDC9232" w14:textId="77777777" w:rsidR="00C11A29" w:rsidRPr="00EB7902" w:rsidRDefault="00C11A29" w:rsidP="00335BBC">
      <w:pPr>
        <w:spacing w:line="360" w:lineRule="auto"/>
        <w:ind w:left="720"/>
        <w:jc w:val="both"/>
        <w:rPr>
          <w:rFonts w:ascii="Times" w:hAnsi="Times"/>
          <w:i/>
          <w:iCs/>
          <w:color w:val="000000" w:themeColor="text1"/>
        </w:rPr>
      </w:pPr>
      <w:r w:rsidRPr="00EB7902">
        <w:rPr>
          <w:rStyle w:val="user-highlighted-active"/>
          <w:rFonts w:ascii="Times" w:hAnsi="Times"/>
          <w:i/>
          <w:iCs/>
          <w:color w:val="000000" w:themeColor="text1"/>
          <w:shd w:val="clear" w:color="auto" w:fill="FFFFFF"/>
        </w:rPr>
        <w:t>‘… insanity has always been regarded on a better view of the relevant authorities as a fundamental negation of criminal responsibility… Basic to criminal liability is a guilty mind. In insanity that is completely absent</w:t>
      </w:r>
      <w:r w:rsidRPr="00EB7902">
        <w:rPr>
          <w:rFonts w:ascii="Times" w:hAnsi="Times"/>
          <w:i/>
          <w:iCs/>
          <w:color w:val="000000" w:themeColor="text1"/>
        </w:rPr>
        <w:t>.’</w:t>
      </w:r>
    </w:p>
    <w:p w14:paraId="14E174F7" w14:textId="77777777" w:rsidR="00C11A29" w:rsidRPr="002B4417" w:rsidRDefault="00C11A29" w:rsidP="00335BBC">
      <w:pPr>
        <w:pStyle w:val="ListParagraph"/>
        <w:spacing w:line="360" w:lineRule="auto"/>
        <w:ind w:left="360"/>
        <w:jc w:val="both"/>
        <w:rPr>
          <w:rFonts w:ascii="Times" w:hAnsi="Times"/>
          <w:i/>
          <w:iCs/>
        </w:rPr>
      </w:pPr>
    </w:p>
    <w:p w14:paraId="113AA9D2" w14:textId="7AD65CC4" w:rsidR="00674C2A" w:rsidRPr="00EE7625" w:rsidRDefault="00674C2A" w:rsidP="00335BBC">
      <w:pPr>
        <w:pStyle w:val="ListParagraph"/>
        <w:numPr>
          <w:ilvl w:val="0"/>
          <w:numId w:val="2"/>
        </w:numPr>
        <w:spacing w:line="360" w:lineRule="auto"/>
        <w:jc w:val="both"/>
        <w:rPr>
          <w:rFonts w:ascii="Times" w:hAnsi="Times"/>
          <w:i/>
          <w:iCs/>
        </w:rPr>
      </w:pPr>
      <w:r>
        <w:rPr>
          <w:rFonts w:ascii="Times" w:hAnsi="Times"/>
        </w:rPr>
        <w:t xml:space="preserve"> It is doubtful, however, whether that is properly to be seen as capable of being authority for the proposition that the imposition of a legal burden on an accused in respect of an element of a serious offence is permissible. In truth, in the case of insanity, as the words of Charleton J acknowledge, it is not that a particular element of a particular offence is in issue; rather the entire basis of criminal liability – a mind capable of forming the necessary intent – is undermined by the presence of mental disorder. That is a categorical distinction, which is really of no assistance to an analysis of a statute such as that at issue in these proceedings.</w:t>
      </w:r>
    </w:p>
    <w:p w14:paraId="0CB1B920" w14:textId="77777777" w:rsidR="00674C2A" w:rsidRPr="00EE7625" w:rsidRDefault="00674C2A" w:rsidP="00335BBC">
      <w:pPr>
        <w:pStyle w:val="ListParagraph"/>
        <w:spacing w:line="360" w:lineRule="auto"/>
        <w:ind w:left="360"/>
        <w:jc w:val="both"/>
        <w:rPr>
          <w:rFonts w:ascii="Times" w:hAnsi="Times"/>
          <w:i/>
          <w:iCs/>
        </w:rPr>
      </w:pPr>
    </w:p>
    <w:p w14:paraId="7D6E1D6E" w14:textId="492576A8" w:rsidR="00F32BF1" w:rsidRPr="00CE2271" w:rsidRDefault="00F32BF1" w:rsidP="00335BBC">
      <w:pPr>
        <w:pStyle w:val="ListParagraph"/>
        <w:numPr>
          <w:ilvl w:val="0"/>
          <w:numId w:val="2"/>
        </w:numPr>
        <w:spacing w:line="360" w:lineRule="auto"/>
        <w:jc w:val="both"/>
        <w:rPr>
          <w:rFonts w:ascii="Times" w:hAnsi="Times"/>
          <w:i/>
          <w:iCs/>
        </w:rPr>
      </w:pPr>
      <w:r>
        <w:rPr>
          <w:rFonts w:ascii="Times" w:hAnsi="Times"/>
        </w:rPr>
        <w:t xml:space="preserve">In other common law countries and under the ECHR, the transfer of the legal burden in respect of the insanity defence </w:t>
      </w:r>
      <w:r w:rsidR="003A29DD">
        <w:rPr>
          <w:rFonts w:ascii="Times" w:hAnsi="Times"/>
        </w:rPr>
        <w:t>has been upheld as valid</w:t>
      </w:r>
      <w:r>
        <w:rPr>
          <w:rFonts w:ascii="Times" w:hAnsi="Times"/>
        </w:rPr>
        <w:t xml:space="preserve">. For example, in the United States, </w:t>
      </w:r>
      <w:r>
        <w:rPr>
          <w:rFonts w:ascii="Times" w:hAnsi="Times" w:cs="Open Sans"/>
          <w:color w:val="000000"/>
        </w:rPr>
        <w:t>the federal burden of proof has been codified</w:t>
      </w:r>
      <w:r w:rsidR="003A29DD">
        <w:rPr>
          <w:rFonts w:ascii="Times" w:hAnsi="Times" w:cs="Open Sans"/>
          <w:color w:val="000000"/>
        </w:rPr>
        <w:t xml:space="preserve"> in</w:t>
      </w:r>
      <w:r w:rsidRPr="00E23D71">
        <w:rPr>
          <w:rFonts w:ascii="Times" w:hAnsi="Times"/>
        </w:rPr>
        <w:t xml:space="preserve"> U.S.C. 18 17(b) </w:t>
      </w:r>
      <w:r w:rsidR="003A29DD">
        <w:rPr>
          <w:rFonts w:ascii="Times" w:hAnsi="Times"/>
        </w:rPr>
        <w:t xml:space="preserve">which </w:t>
      </w:r>
      <w:r w:rsidRPr="00E23D71">
        <w:rPr>
          <w:rFonts w:ascii="Times" w:hAnsi="Times"/>
        </w:rPr>
        <w:t xml:space="preserve">requires that </w:t>
      </w:r>
      <w:r w:rsidRPr="00C0442C">
        <w:rPr>
          <w:rFonts w:ascii="Times" w:hAnsi="Times"/>
          <w:i/>
          <w:iCs/>
          <w:color w:val="000000" w:themeColor="text1"/>
        </w:rPr>
        <w:t>‘clear and convincing evidence’</w:t>
      </w:r>
      <w:r w:rsidRPr="00C0442C">
        <w:rPr>
          <w:rFonts w:ascii="Times" w:hAnsi="Times"/>
          <w:color w:val="000000" w:themeColor="text1"/>
        </w:rPr>
        <w:t xml:space="preserve"> </w:t>
      </w:r>
      <w:r w:rsidRPr="00E23D71">
        <w:rPr>
          <w:rFonts w:ascii="Times" w:hAnsi="Times"/>
        </w:rPr>
        <w:t>of insanity be provided by the Defence</w:t>
      </w:r>
      <w:r>
        <w:rPr>
          <w:rFonts w:ascii="Times" w:hAnsi="Times"/>
        </w:rPr>
        <w:t>.</w:t>
      </w:r>
      <w:r w:rsidR="006F2864">
        <w:rPr>
          <w:rStyle w:val="FootnoteReference"/>
          <w:rFonts w:ascii="Times" w:hAnsi="Times"/>
        </w:rPr>
        <w:footnoteReference w:id="44"/>
      </w:r>
      <w:r w:rsidRPr="00E23D71">
        <w:rPr>
          <w:rFonts w:ascii="Times" w:hAnsi="Times"/>
        </w:rPr>
        <w:t xml:space="preserve"> </w:t>
      </w:r>
    </w:p>
    <w:p w14:paraId="6BFB37AB" w14:textId="77777777" w:rsidR="00CE2271" w:rsidRPr="00525DF9" w:rsidRDefault="00CE2271" w:rsidP="00335BBC">
      <w:pPr>
        <w:pStyle w:val="ListParagraph"/>
        <w:spacing w:line="360" w:lineRule="auto"/>
        <w:ind w:left="360"/>
        <w:jc w:val="both"/>
        <w:rPr>
          <w:rFonts w:ascii="Times" w:hAnsi="Times"/>
          <w:i/>
          <w:iCs/>
        </w:rPr>
      </w:pPr>
    </w:p>
    <w:p w14:paraId="124E7B8F" w14:textId="72588E28" w:rsidR="0062539B" w:rsidRPr="0062539B" w:rsidRDefault="003B795F" w:rsidP="00335BBC">
      <w:pPr>
        <w:pStyle w:val="ListParagraph"/>
        <w:numPr>
          <w:ilvl w:val="0"/>
          <w:numId w:val="2"/>
        </w:numPr>
        <w:spacing w:line="360" w:lineRule="auto"/>
        <w:jc w:val="both"/>
        <w:rPr>
          <w:rFonts w:ascii="Times" w:hAnsi="Times"/>
          <w:i/>
          <w:iCs/>
        </w:rPr>
      </w:pPr>
      <w:r w:rsidRPr="00C11A29">
        <w:rPr>
          <w:rFonts w:ascii="Times" w:hAnsi="Times"/>
        </w:rPr>
        <w:t>The legal burden to prove insanity has never been subject to constitutional challenge in this jurisdiction</w:t>
      </w:r>
      <w:r w:rsidR="00075D35">
        <w:rPr>
          <w:rFonts w:ascii="Times" w:hAnsi="Times"/>
        </w:rPr>
        <w:t>.</w:t>
      </w:r>
      <w:r w:rsidRPr="00C11A29">
        <w:rPr>
          <w:rFonts w:ascii="Times" w:hAnsi="Times"/>
        </w:rPr>
        <w:t xml:space="preserve"> </w:t>
      </w:r>
      <w:r w:rsidR="00075D35">
        <w:rPr>
          <w:rFonts w:ascii="Times" w:hAnsi="Times"/>
        </w:rPr>
        <w:t>I</w:t>
      </w:r>
      <w:r>
        <w:rPr>
          <w:rFonts w:ascii="Times" w:hAnsi="Times"/>
        </w:rPr>
        <w:t xml:space="preserve">f it </w:t>
      </w:r>
      <w:r w:rsidR="00075D35">
        <w:rPr>
          <w:rFonts w:ascii="Times" w:hAnsi="Times"/>
        </w:rPr>
        <w:t>ever</w:t>
      </w:r>
      <w:r w:rsidR="00F864C2">
        <w:rPr>
          <w:rFonts w:ascii="Times" w:hAnsi="Times"/>
        </w:rPr>
        <w:t xml:space="preserve"> were</w:t>
      </w:r>
      <w:r>
        <w:rPr>
          <w:rFonts w:ascii="Times" w:hAnsi="Times"/>
        </w:rPr>
        <w:t xml:space="preserve">, </w:t>
      </w:r>
      <w:r w:rsidRPr="00C11A29">
        <w:rPr>
          <w:rFonts w:ascii="Times" w:hAnsi="Times"/>
        </w:rPr>
        <w:t xml:space="preserve">the justification offered </w:t>
      </w:r>
      <w:r w:rsidR="00A27FEB">
        <w:rPr>
          <w:rFonts w:ascii="Times" w:hAnsi="Times"/>
        </w:rPr>
        <w:t>m</w:t>
      </w:r>
      <w:r w:rsidR="00F864C2">
        <w:rPr>
          <w:rFonts w:ascii="Times" w:hAnsi="Times"/>
        </w:rPr>
        <w:t>ight</w:t>
      </w:r>
      <w:r w:rsidR="00A27FEB">
        <w:rPr>
          <w:rFonts w:ascii="Times" w:hAnsi="Times"/>
        </w:rPr>
        <w:t xml:space="preserve"> be </w:t>
      </w:r>
      <w:r w:rsidRPr="00C11A29">
        <w:rPr>
          <w:rFonts w:ascii="Times" w:hAnsi="Times"/>
        </w:rPr>
        <w:t xml:space="preserve">the same as in </w:t>
      </w:r>
      <w:r w:rsidR="00F75F6F">
        <w:rPr>
          <w:rFonts w:ascii="Times" w:hAnsi="Times"/>
        </w:rPr>
        <w:t xml:space="preserve">the </w:t>
      </w:r>
      <w:r w:rsidRPr="00C11A29">
        <w:rPr>
          <w:rFonts w:ascii="Times" w:hAnsi="Times"/>
        </w:rPr>
        <w:t xml:space="preserve">case of </w:t>
      </w:r>
      <w:r w:rsidRPr="00C11A29">
        <w:rPr>
          <w:rFonts w:ascii="Times" w:hAnsi="Times"/>
          <w:i/>
          <w:iCs/>
        </w:rPr>
        <w:t>R v Chaulk</w:t>
      </w:r>
      <w:r w:rsidRPr="00C11A29">
        <w:rPr>
          <w:rFonts w:ascii="Times" w:hAnsi="Times"/>
        </w:rPr>
        <w:t xml:space="preserve">, a Canadian case cited with approval in </w:t>
      </w:r>
      <w:r w:rsidR="00F32BF1" w:rsidRPr="00F32BF1">
        <w:rPr>
          <w:rFonts w:ascii="Times" w:hAnsi="Times"/>
          <w:i/>
          <w:iCs/>
        </w:rPr>
        <w:t>Heffernan</w:t>
      </w:r>
      <w:r w:rsidR="00190279">
        <w:rPr>
          <w:rStyle w:val="FootnoteReference"/>
          <w:rFonts w:ascii="Times" w:hAnsi="Times"/>
          <w:i/>
          <w:iCs/>
        </w:rPr>
        <w:footnoteReference w:id="45"/>
      </w:r>
      <w:r w:rsidR="00F32BF1">
        <w:rPr>
          <w:rFonts w:ascii="Times" w:hAnsi="Times"/>
        </w:rPr>
        <w:t xml:space="preserve"> and </w:t>
      </w:r>
      <w:r w:rsidR="00F32BF1" w:rsidRPr="00F32BF1">
        <w:rPr>
          <w:rFonts w:ascii="Times" w:hAnsi="Times"/>
          <w:i/>
          <w:iCs/>
        </w:rPr>
        <w:t>Abdi</w:t>
      </w:r>
      <w:r w:rsidR="00190279">
        <w:rPr>
          <w:rStyle w:val="FootnoteReference"/>
          <w:rFonts w:ascii="Times" w:hAnsi="Times"/>
          <w:i/>
          <w:iCs/>
        </w:rPr>
        <w:footnoteReference w:id="46"/>
      </w:r>
      <w:r w:rsidR="0062539B">
        <w:rPr>
          <w:rFonts w:ascii="Times" w:hAnsi="Times"/>
        </w:rPr>
        <w:t xml:space="preserve">: that the burden on the prosecution of disproving insanity beyond a reasonable doubt would </w:t>
      </w:r>
      <w:r w:rsidR="00075D35">
        <w:rPr>
          <w:rFonts w:ascii="Times" w:hAnsi="Times"/>
        </w:rPr>
        <w:t>be</w:t>
      </w:r>
      <w:r w:rsidR="0062539B">
        <w:rPr>
          <w:rFonts w:ascii="Times" w:hAnsi="Times"/>
        </w:rPr>
        <w:t xml:space="preserve"> </w:t>
      </w:r>
      <w:r w:rsidR="0062539B" w:rsidRPr="00F32BF1">
        <w:rPr>
          <w:rFonts w:ascii="Times" w:hAnsi="Times"/>
          <w:i/>
          <w:iCs/>
        </w:rPr>
        <w:t>‘unworkable’</w:t>
      </w:r>
      <w:r w:rsidR="0062539B">
        <w:rPr>
          <w:rFonts w:ascii="Times" w:hAnsi="Times"/>
        </w:rPr>
        <w:t>.</w:t>
      </w:r>
    </w:p>
    <w:p w14:paraId="20ADCB0B" w14:textId="77777777" w:rsidR="0062539B" w:rsidRPr="0062539B" w:rsidRDefault="0062539B" w:rsidP="00335BBC">
      <w:pPr>
        <w:pStyle w:val="ListParagraph"/>
        <w:spacing w:line="360" w:lineRule="auto"/>
        <w:ind w:left="360"/>
        <w:jc w:val="both"/>
        <w:rPr>
          <w:rFonts w:ascii="Times" w:hAnsi="Times"/>
          <w:i/>
          <w:iCs/>
        </w:rPr>
      </w:pPr>
    </w:p>
    <w:p w14:paraId="2381E739" w14:textId="7794BF47" w:rsidR="0062539B" w:rsidRPr="00C11A29" w:rsidRDefault="0062539B" w:rsidP="00335BBC">
      <w:pPr>
        <w:pStyle w:val="ListParagraph"/>
        <w:numPr>
          <w:ilvl w:val="0"/>
          <w:numId w:val="2"/>
        </w:numPr>
        <w:shd w:val="clear" w:color="auto" w:fill="FFFFFF"/>
        <w:spacing w:after="240" w:line="360" w:lineRule="auto"/>
        <w:jc w:val="both"/>
        <w:rPr>
          <w:rFonts w:ascii="Times" w:hAnsi="Times"/>
        </w:rPr>
      </w:pPr>
      <w:r>
        <w:rPr>
          <w:rFonts w:ascii="Times" w:hAnsi="Times"/>
        </w:rPr>
        <w:t>In</w:t>
      </w:r>
      <w:r w:rsidRPr="00C11A29">
        <w:rPr>
          <w:rFonts w:ascii="Times" w:hAnsi="Times"/>
        </w:rPr>
        <w:t xml:space="preserve"> </w:t>
      </w:r>
      <w:r w:rsidRPr="00C11A29">
        <w:rPr>
          <w:rFonts w:ascii="Times" w:hAnsi="Times"/>
          <w:i/>
          <w:iCs/>
        </w:rPr>
        <w:t>Chaulk</w:t>
      </w:r>
      <w:r w:rsidR="00190279">
        <w:rPr>
          <w:rStyle w:val="FootnoteReference"/>
          <w:rFonts w:ascii="Times" w:hAnsi="Times"/>
          <w:i/>
          <w:iCs/>
        </w:rPr>
        <w:footnoteReference w:id="47"/>
      </w:r>
      <w:r>
        <w:rPr>
          <w:rFonts w:ascii="Times" w:hAnsi="Times"/>
          <w:i/>
          <w:iCs/>
        </w:rPr>
        <w:t>,</w:t>
      </w:r>
      <w:r w:rsidRPr="00C11A29">
        <w:rPr>
          <w:rFonts w:ascii="Times" w:hAnsi="Times"/>
          <w:i/>
          <w:iCs/>
        </w:rPr>
        <w:t xml:space="preserve"> </w:t>
      </w:r>
      <w:r>
        <w:rPr>
          <w:rFonts w:ascii="Times" w:hAnsi="Times"/>
        </w:rPr>
        <w:t>t</w:t>
      </w:r>
      <w:r w:rsidRPr="00C11A29">
        <w:rPr>
          <w:rFonts w:ascii="Times" w:hAnsi="Times"/>
        </w:rPr>
        <w:t xml:space="preserve">he Canadian Supreme Court, </w:t>
      </w:r>
      <w:r w:rsidRPr="00C11A29">
        <w:rPr>
          <w:rFonts w:ascii="Times" w:hAnsi="Times"/>
          <w:i/>
          <w:iCs/>
        </w:rPr>
        <w:t>per</w:t>
      </w:r>
      <w:r w:rsidRPr="00C11A29">
        <w:rPr>
          <w:rFonts w:ascii="Times" w:hAnsi="Times"/>
        </w:rPr>
        <w:t xml:space="preserve"> Larmer CJ, held that the transfer of the legal burden to prove insanity:</w:t>
      </w:r>
    </w:p>
    <w:p w14:paraId="499038EB" w14:textId="77777777" w:rsidR="0062539B" w:rsidRPr="00576F22" w:rsidRDefault="0062539B" w:rsidP="00335BBC">
      <w:pPr>
        <w:pStyle w:val="ListParagraph"/>
        <w:spacing w:line="360" w:lineRule="auto"/>
        <w:rPr>
          <w:rFonts w:ascii="Times" w:hAnsi="Times"/>
          <w:i/>
          <w:iCs/>
        </w:rPr>
      </w:pPr>
    </w:p>
    <w:p w14:paraId="3CE46697" w14:textId="58725B84" w:rsidR="0062539B" w:rsidRDefault="0062539B" w:rsidP="00335BBC">
      <w:pPr>
        <w:spacing w:line="360" w:lineRule="auto"/>
        <w:ind w:left="720"/>
        <w:jc w:val="both"/>
        <w:rPr>
          <w:rFonts w:ascii="Times" w:hAnsi="Times"/>
          <w:i/>
          <w:iCs/>
        </w:rPr>
      </w:pPr>
      <w:r w:rsidRPr="005B2A62">
        <w:rPr>
          <w:rFonts w:ascii="Times" w:hAnsi="Times"/>
          <w:i/>
          <w:iCs/>
        </w:rPr>
        <w:t xml:space="preserve">‘… represents an accommodation of three important societal interests:  avoiding a virtually impossible burden on the Crown; convicting the guilty; and acquitting those who truly lack the capacity for criminal intent.  The result of this compromise is that some guilty people will be acquitted …  and some insane (and therefore not guilty) people will be convicted and will be stigmatized and punished as criminals. ...  </w:t>
      </w:r>
    </w:p>
    <w:p w14:paraId="362DBC55" w14:textId="77777777" w:rsidR="00F864C2" w:rsidRDefault="00F864C2" w:rsidP="00335BBC">
      <w:pPr>
        <w:spacing w:line="360" w:lineRule="auto"/>
        <w:ind w:left="720"/>
        <w:jc w:val="both"/>
        <w:rPr>
          <w:rFonts w:ascii="Times" w:hAnsi="Times"/>
          <w:i/>
          <w:iCs/>
        </w:rPr>
      </w:pPr>
    </w:p>
    <w:p w14:paraId="214072D1" w14:textId="1C255660" w:rsidR="0062539B" w:rsidRDefault="0062539B" w:rsidP="00335BBC">
      <w:pPr>
        <w:spacing w:line="360" w:lineRule="auto"/>
        <w:ind w:left="720"/>
        <w:jc w:val="both"/>
        <w:rPr>
          <w:rFonts w:ascii="Times" w:hAnsi="Times"/>
          <w:i/>
          <w:iCs/>
          <w:color w:val="000000" w:themeColor="text1"/>
        </w:rPr>
      </w:pPr>
      <w:r w:rsidRPr="005B2A62">
        <w:rPr>
          <w:rFonts w:ascii="Times" w:hAnsi="Times"/>
          <w:i/>
          <w:iCs/>
        </w:rPr>
        <w:t xml:space="preserve">This result is the inevitable consequence of the uncertainty of our scientific knowledge and of our commitment (as expressed </w:t>
      </w:r>
      <w:r w:rsidRPr="009C6A78">
        <w:rPr>
          <w:rFonts w:ascii="Times" w:hAnsi="Times"/>
          <w:i/>
          <w:iCs/>
          <w:color w:val="000000" w:themeColor="text1"/>
        </w:rPr>
        <w:t>in </w:t>
      </w:r>
      <w:hyperlink r:id="rId8" w:anchor="!fragment/sec11" w:tgtFrame="_blank" w:history="1">
        <w:r w:rsidRPr="009C6A78">
          <w:rPr>
            <w:rStyle w:val="Hyperlink"/>
            <w:rFonts w:ascii="Times" w:hAnsi="Times"/>
            <w:i/>
            <w:iCs/>
            <w:color w:val="000000" w:themeColor="text1"/>
            <w:u w:val="none"/>
          </w:rPr>
          <w:t>s. 11</w:t>
        </w:r>
      </w:hyperlink>
      <w:r w:rsidRPr="009C6A78">
        <w:rPr>
          <w:rFonts w:ascii="Times" w:hAnsi="Times"/>
          <w:i/>
          <w:iCs/>
          <w:color w:val="000000" w:themeColor="text1"/>
        </w:rPr>
        <w:t>(d)) not to convict those who were insane at the time of the offence...</w:t>
      </w:r>
    </w:p>
    <w:p w14:paraId="500AEE6C" w14:textId="77777777" w:rsidR="00F864C2" w:rsidRPr="009C6A78" w:rsidRDefault="00F864C2" w:rsidP="00335BBC">
      <w:pPr>
        <w:spacing w:line="360" w:lineRule="auto"/>
        <w:ind w:left="720"/>
        <w:jc w:val="both"/>
        <w:rPr>
          <w:rFonts w:ascii="Times" w:hAnsi="Times"/>
          <w:i/>
          <w:iCs/>
          <w:color w:val="000000" w:themeColor="text1"/>
        </w:rPr>
      </w:pPr>
    </w:p>
    <w:p w14:paraId="40818C19" w14:textId="5F6F6B5A" w:rsidR="0062539B" w:rsidRDefault="0062539B" w:rsidP="00335BBC">
      <w:pPr>
        <w:spacing w:line="360" w:lineRule="auto"/>
        <w:ind w:left="720"/>
        <w:jc w:val="both"/>
        <w:rPr>
          <w:rFonts w:ascii="Times" w:hAnsi="Times"/>
          <w:i/>
          <w:iCs/>
        </w:rPr>
      </w:pPr>
      <w:r w:rsidRPr="009C6A78">
        <w:rPr>
          <w:rFonts w:ascii="Times" w:hAnsi="Times"/>
          <w:i/>
          <w:iCs/>
          <w:color w:val="000000" w:themeColor="text1"/>
        </w:rPr>
        <w:t>While the effect of s. 16(4) on the presumption of innocence is clearly detrimental, given the importance of the objective that the Crown not be encumbered with an unworkable burden and given that I have concluded above that s. 16(4) limits </w:t>
      </w:r>
      <w:hyperlink r:id="rId9" w:anchor="!fragment/sec11" w:tgtFrame="_blank" w:history="1">
        <w:r w:rsidRPr="009C6A78">
          <w:rPr>
            <w:rStyle w:val="Hyperlink"/>
            <w:rFonts w:ascii="Times" w:hAnsi="Times"/>
            <w:i/>
            <w:iCs/>
            <w:color w:val="000000" w:themeColor="text1"/>
            <w:u w:val="none"/>
          </w:rPr>
          <w:t>s. 11</w:t>
        </w:r>
      </w:hyperlink>
      <w:r w:rsidRPr="009C6A78">
        <w:rPr>
          <w:rFonts w:ascii="Times" w:hAnsi="Times"/>
          <w:i/>
          <w:iCs/>
          <w:color w:val="000000" w:themeColor="text1"/>
        </w:rPr>
        <w:t xml:space="preserve">(d) as little as is reasonably possible, it is my view that there is proportionality between </w:t>
      </w:r>
      <w:r w:rsidRPr="005B2A62">
        <w:rPr>
          <w:rFonts w:ascii="Times" w:hAnsi="Times"/>
          <w:i/>
          <w:iCs/>
        </w:rPr>
        <w:t>the effects of the measure and the objective.’</w:t>
      </w:r>
    </w:p>
    <w:p w14:paraId="0054D594" w14:textId="77777777" w:rsidR="0062539B" w:rsidRPr="005B2A62" w:rsidRDefault="0062539B" w:rsidP="00335BBC">
      <w:pPr>
        <w:spacing w:line="360" w:lineRule="auto"/>
        <w:ind w:left="720"/>
        <w:jc w:val="both"/>
        <w:rPr>
          <w:rFonts w:ascii="Times" w:hAnsi="Times"/>
          <w:i/>
          <w:iCs/>
        </w:rPr>
      </w:pPr>
    </w:p>
    <w:p w14:paraId="0AE15DD9" w14:textId="10674EA4" w:rsidR="00F75F6F" w:rsidRPr="00F75F6F" w:rsidRDefault="00F32BF1" w:rsidP="00335BBC">
      <w:pPr>
        <w:pStyle w:val="ListParagraph"/>
        <w:numPr>
          <w:ilvl w:val="0"/>
          <w:numId w:val="2"/>
        </w:numPr>
        <w:spacing w:line="360" w:lineRule="auto"/>
        <w:jc w:val="both"/>
        <w:rPr>
          <w:rFonts w:ascii="Times" w:hAnsi="Times"/>
          <w:i/>
          <w:iCs/>
        </w:rPr>
      </w:pPr>
      <w:r>
        <w:rPr>
          <w:rFonts w:ascii="Times" w:hAnsi="Times"/>
        </w:rPr>
        <w:t>The analysis of the Court was clear-eyed and stark: transferring the legal burden w</w:t>
      </w:r>
      <w:r w:rsidR="00F75F6F">
        <w:rPr>
          <w:rFonts w:ascii="Times" w:hAnsi="Times"/>
        </w:rPr>
        <w:t>ould</w:t>
      </w:r>
      <w:r>
        <w:rPr>
          <w:rFonts w:ascii="Times" w:hAnsi="Times"/>
        </w:rPr>
        <w:t xml:space="preserve"> result in the innocent being convicted</w:t>
      </w:r>
      <w:r w:rsidR="00463142">
        <w:rPr>
          <w:rFonts w:ascii="Times" w:hAnsi="Times"/>
        </w:rPr>
        <w:t xml:space="preserve"> in some cases</w:t>
      </w:r>
      <w:r>
        <w:rPr>
          <w:rFonts w:ascii="Times" w:hAnsi="Times"/>
        </w:rPr>
        <w:t>.</w:t>
      </w:r>
      <w:r w:rsidR="00F75F6F">
        <w:rPr>
          <w:rFonts w:ascii="Times" w:hAnsi="Times"/>
        </w:rPr>
        <w:t xml:space="preserve"> Indeed, t</w:t>
      </w:r>
      <w:r w:rsidR="00C11A29" w:rsidRPr="00F75F6F">
        <w:rPr>
          <w:rFonts w:ascii="Times" w:hAnsi="Times"/>
        </w:rPr>
        <w:t xml:space="preserve">he </w:t>
      </w:r>
      <w:r w:rsidR="003B795F" w:rsidRPr="00F75F6F">
        <w:rPr>
          <w:rFonts w:ascii="Times" w:hAnsi="Times"/>
        </w:rPr>
        <w:t xml:space="preserve">facts of </w:t>
      </w:r>
      <w:r w:rsidR="00C11A29" w:rsidRPr="00F75F6F">
        <w:rPr>
          <w:rFonts w:ascii="Times" w:hAnsi="Times"/>
          <w:i/>
          <w:iCs/>
        </w:rPr>
        <w:t>Abdi</w:t>
      </w:r>
      <w:r w:rsidR="00C11A29" w:rsidRPr="00F75F6F">
        <w:rPr>
          <w:rFonts w:ascii="Times" w:hAnsi="Times"/>
        </w:rPr>
        <w:t xml:space="preserve"> demonstrate the real risk of the innocent being convicted, despite </w:t>
      </w:r>
      <w:r w:rsidR="00C11A29" w:rsidRPr="00F75F6F">
        <w:rPr>
          <w:rFonts w:ascii="Times" w:hAnsi="Times"/>
          <w:i/>
          <w:iCs/>
        </w:rPr>
        <w:t>bona fide</w:t>
      </w:r>
      <w:r w:rsidR="00C11A29" w:rsidRPr="00F75F6F">
        <w:rPr>
          <w:rFonts w:ascii="Times" w:hAnsi="Times"/>
        </w:rPr>
        <w:t xml:space="preserve"> efforts to assess the culpability of an accused</w:t>
      </w:r>
      <w:r w:rsidR="00E83A2C">
        <w:rPr>
          <w:rStyle w:val="FootnoteReference"/>
          <w:rFonts w:ascii="Times" w:hAnsi="Times"/>
        </w:rPr>
        <w:footnoteReference w:id="48"/>
      </w:r>
      <w:r w:rsidR="00C11A29" w:rsidRPr="00F75F6F">
        <w:rPr>
          <w:rFonts w:ascii="Times" w:hAnsi="Times"/>
        </w:rPr>
        <w:t xml:space="preserve">. </w:t>
      </w:r>
    </w:p>
    <w:p w14:paraId="02DA0D13" w14:textId="597282C5" w:rsidR="00F75F6F" w:rsidRDefault="00F75F6F" w:rsidP="00335BBC">
      <w:pPr>
        <w:spacing w:line="360" w:lineRule="auto"/>
        <w:rPr>
          <w:rFonts w:ascii="Times" w:hAnsi="Times"/>
        </w:rPr>
      </w:pPr>
    </w:p>
    <w:p w14:paraId="190FB43C" w14:textId="7DAEC75F" w:rsidR="000320C9" w:rsidRPr="00335BBC" w:rsidRDefault="000320C9" w:rsidP="00E3746D">
      <w:pPr>
        <w:pStyle w:val="Heading1"/>
      </w:pPr>
      <w:bookmarkStart w:id="11" w:name="_Toc128532597"/>
      <w:r w:rsidRPr="00335BBC">
        <w:t>The possible application of the mental disorder approach to prosecutions generally</w:t>
      </w:r>
      <w:bookmarkEnd w:id="11"/>
    </w:p>
    <w:p w14:paraId="3A65DC63" w14:textId="77777777" w:rsidR="000320C9" w:rsidRPr="00335BBC" w:rsidRDefault="000320C9" w:rsidP="00335BBC">
      <w:pPr>
        <w:spacing w:line="360" w:lineRule="auto"/>
        <w:rPr>
          <w:rFonts w:ascii="Times" w:hAnsi="Times"/>
        </w:rPr>
      </w:pPr>
    </w:p>
    <w:p w14:paraId="054720A5" w14:textId="1B3EE4BB" w:rsidR="005F2EC0" w:rsidRPr="005F2EC0" w:rsidRDefault="00172FA8" w:rsidP="00335BBC">
      <w:pPr>
        <w:pStyle w:val="ListParagraph"/>
        <w:numPr>
          <w:ilvl w:val="0"/>
          <w:numId w:val="2"/>
        </w:numPr>
        <w:spacing w:line="360" w:lineRule="auto"/>
        <w:jc w:val="both"/>
        <w:rPr>
          <w:rFonts w:ascii="Times" w:hAnsi="Times" w:cs="Open Sans"/>
          <w:color w:val="000000"/>
          <w:shd w:val="clear" w:color="auto" w:fill="FFFFFF"/>
        </w:rPr>
      </w:pPr>
      <w:r>
        <w:rPr>
          <w:rFonts w:ascii="Times" w:hAnsi="Times"/>
        </w:rPr>
        <w:t>It is submitted that a</w:t>
      </w:r>
      <w:r w:rsidR="00C11A29" w:rsidRPr="00172FA8">
        <w:rPr>
          <w:rFonts w:ascii="Times" w:hAnsi="Times"/>
        </w:rPr>
        <w:t xml:space="preserve"> </w:t>
      </w:r>
      <w:r>
        <w:rPr>
          <w:rFonts w:ascii="Times" w:hAnsi="Times"/>
        </w:rPr>
        <w:t>compelling basis is required to justify the transfer of the legal burden</w:t>
      </w:r>
      <w:r w:rsidR="00E83A2C">
        <w:rPr>
          <w:rFonts w:ascii="Times" w:hAnsi="Times"/>
        </w:rPr>
        <w:t>, where this may result in the conviction of the innocent</w:t>
      </w:r>
      <w:r w:rsidR="00E00E70">
        <w:rPr>
          <w:rFonts w:ascii="Times" w:hAnsi="Times"/>
        </w:rPr>
        <w:t xml:space="preserve"> or </w:t>
      </w:r>
      <w:r w:rsidR="00523D35">
        <w:rPr>
          <w:rFonts w:ascii="Times" w:hAnsi="Times"/>
        </w:rPr>
        <w:t xml:space="preserve">in </w:t>
      </w:r>
      <w:r w:rsidR="00E00E70">
        <w:rPr>
          <w:rFonts w:ascii="Times" w:hAnsi="Times"/>
        </w:rPr>
        <w:t xml:space="preserve">doubts about the guilt of </w:t>
      </w:r>
      <w:r w:rsidR="00075D35">
        <w:rPr>
          <w:rFonts w:ascii="Times" w:hAnsi="Times"/>
        </w:rPr>
        <w:t>the</w:t>
      </w:r>
      <w:r w:rsidR="00E00E70">
        <w:rPr>
          <w:rFonts w:ascii="Times" w:hAnsi="Times"/>
        </w:rPr>
        <w:t xml:space="preserve"> accused</w:t>
      </w:r>
      <w:r w:rsidR="00E83A2C">
        <w:rPr>
          <w:rFonts w:ascii="Times" w:hAnsi="Times"/>
        </w:rPr>
        <w:t xml:space="preserve">. In this regard, </w:t>
      </w:r>
      <w:r w:rsidR="00B5372C">
        <w:rPr>
          <w:rFonts w:ascii="Times" w:hAnsi="Times"/>
        </w:rPr>
        <w:t xml:space="preserve">the </w:t>
      </w:r>
      <w:r w:rsidR="000320C9">
        <w:rPr>
          <w:rFonts w:ascii="Times" w:hAnsi="Times"/>
        </w:rPr>
        <w:t>test</w:t>
      </w:r>
      <w:r w:rsidR="00B5372C">
        <w:rPr>
          <w:rFonts w:ascii="Times" w:hAnsi="Times"/>
        </w:rPr>
        <w:t xml:space="preserve"> applied in </w:t>
      </w:r>
      <w:r w:rsidR="00B5372C" w:rsidRPr="0064272C">
        <w:rPr>
          <w:rFonts w:ascii="Times" w:hAnsi="Times"/>
          <w:i/>
        </w:rPr>
        <w:t>Chaulk</w:t>
      </w:r>
      <w:r w:rsidR="0064272C">
        <w:rPr>
          <w:rFonts w:ascii="Times" w:hAnsi="Times"/>
        </w:rPr>
        <w:t xml:space="preserve">, </w:t>
      </w:r>
      <w:r w:rsidR="00E00E70">
        <w:rPr>
          <w:rFonts w:ascii="Times" w:hAnsi="Times"/>
        </w:rPr>
        <w:t xml:space="preserve">that </w:t>
      </w:r>
      <w:r w:rsidR="00E83A2C">
        <w:rPr>
          <w:rFonts w:ascii="Times" w:hAnsi="Times"/>
        </w:rPr>
        <w:t xml:space="preserve">the burden on the prosecution would be </w:t>
      </w:r>
      <w:r w:rsidR="00E83A2C" w:rsidRPr="00E83A2C">
        <w:rPr>
          <w:rFonts w:ascii="Times" w:hAnsi="Times"/>
          <w:i/>
          <w:iCs/>
        </w:rPr>
        <w:t>‘unworkable’</w:t>
      </w:r>
      <w:r w:rsidR="00E83A2C">
        <w:rPr>
          <w:rFonts w:ascii="Times" w:hAnsi="Times"/>
        </w:rPr>
        <w:t xml:space="preserve"> if transfer </w:t>
      </w:r>
      <w:r w:rsidR="00523D35">
        <w:rPr>
          <w:rFonts w:ascii="Times" w:hAnsi="Times"/>
        </w:rPr>
        <w:t xml:space="preserve">of the burden </w:t>
      </w:r>
      <w:r w:rsidR="00E83A2C">
        <w:rPr>
          <w:rFonts w:ascii="Times" w:hAnsi="Times"/>
        </w:rPr>
        <w:t>was not permitted</w:t>
      </w:r>
      <w:r w:rsidR="000320C9">
        <w:rPr>
          <w:rFonts w:ascii="Times" w:hAnsi="Times"/>
        </w:rPr>
        <w:t>, may be capable of a broader application</w:t>
      </w:r>
      <w:r w:rsidR="00E83A2C">
        <w:rPr>
          <w:rFonts w:ascii="Times" w:hAnsi="Times"/>
        </w:rPr>
        <w:t>. If</w:t>
      </w:r>
      <w:r w:rsidR="00E00E70">
        <w:rPr>
          <w:rFonts w:ascii="Times" w:hAnsi="Times"/>
        </w:rPr>
        <w:t xml:space="preserve"> a</w:t>
      </w:r>
      <w:r w:rsidR="00075D35">
        <w:rPr>
          <w:rFonts w:ascii="Times" w:hAnsi="Times"/>
        </w:rPr>
        <w:t xml:space="preserve"> serious</w:t>
      </w:r>
      <w:r w:rsidR="00E00E70">
        <w:rPr>
          <w:rFonts w:ascii="Times" w:hAnsi="Times"/>
        </w:rPr>
        <w:t xml:space="preserve"> offence c</w:t>
      </w:r>
      <w:r w:rsidR="00523D35">
        <w:rPr>
          <w:rFonts w:ascii="Times" w:hAnsi="Times"/>
        </w:rPr>
        <w:t>an</w:t>
      </w:r>
      <w:r w:rsidR="00E00E70">
        <w:rPr>
          <w:rFonts w:ascii="Times" w:hAnsi="Times"/>
        </w:rPr>
        <w:t>not be prosecuted</w:t>
      </w:r>
      <w:r w:rsidR="00E83A2C">
        <w:rPr>
          <w:rFonts w:ascii="Times" w:hAnsi="Times"/>
        </w:rPr>
        <w:t>, then</w:t>
      </w:r>
      <w:r w:rsidR="00E00E70">
        <w:rPr>
          <w:rFonts w:ascii="Times" w:hAnsi="Times"/>
        </w:rPr>
        <w:t xml:space="preserve"> </w:t>
      </w:r>
      <w:r w:rsidR="00E83A2C">
        <w:rPr>
          <w:rFonts w:ascii="Times" w:hAnsi="Times"/>
        </w:rPr>
        <w:t xml:space="preserve">the consequences </w:t>
      </w:r>
      <w:r w:rsidR="005F2EC0">
        <w:rPr>
          <w:rFonts w:ascii="Times" w:hAnsi="Times"/>
        </w:rPr>
        <w:t>for</w:t>
      </w:r>
      <w:r w:rsidR="00E83A2C">
        <w:rPr>
          <w:rFonts w:ascii="Times" w:hAnsi="Times"/>
        </w:rPr>
        <w:t xml:space="preserve"> protection of the community and </w:t>
      </w:r>
      <w:r w:rsidR="00523D35">
        <w:rPr>
          <w:rFonts w:ascii="Times" w:hAnsi="Times"/>
        </w:rPr>
        <w:t xml:space="preserve">for the </w:t>
      </w:r>
      <w:r w:rsidR="00E83A2C">
        <w:rPr>
          <w:rFonts w:ascii="Times" w:hAnsi="Times"/>
        </w:rPr>
        <w:t xml:space="preserve">vindication of </w:t>
      </w:r>
      <w:r w:rsidR="000320C9">
        <w:rPr>
          <w:rFonts w:ascii="Times" w:hAnsi="Times"/>
        </w:rPr>
        <w:t xml:space="preserve">the rights of the </w:t>
      </w:r>
      <w:r w:rsidR="00E83A2C">
        <w:rPr>
          <w:rFonts w:ascii="Times" w:hAnsi="Times"/>
        </w:rPr>
        <w:t>victim</w:t>
      </w:r>
      <w:r w:rsidR="00E00E70">
        <w:rPr>
          <w:rFonts w:ascii="Times" w:hAnsi="Times"/>
        </w:rPr>
        <w:t xml:space="preserve"> would be such that </w:t>
      </w:r>
      <w:r w:rsidR="005F2EC0">
        <w:rPr>
          <w:rFonts w:ascii="Times" w:hAnsi="Times"/>
        </w:rPr>
        <w:lastRenderedPageBreak/>
        <w:t>rights beyond those of an accused</w:t>
      </w:r>
      <w:r w:rsidR="00E00E70">
        <w:rPr>
          <w:rFonts w:ascii="Times" w:hAnsi="Times"/>
        </w:rPr>
        <w:t xml:space="preserve"> </w:t>
      </w:r>
      <w:r w:rsidR="00614CC6">
        <w:rPr>
          <w:rFonts w:ascii="Times" w:hAnsi="Times"/>
        </w:rPr>
        <w:t xml:space="preserve">would </w:t>
      </w:r>
      <w:r w:rsidR="00075D35">
        <w:rPr>
          <w:rFonts w:ascii="Times" w:hAnsi="Times"/>
        </w:rPr>
        <w:t xml:space="preserve">then </w:t>
      </w:r>
      <w:r w:rsidR="00523D35">
        <w:rPr>
          <w:rFonts w:ascii="Times" w:hAnsi="Times"/>
        </w:rPr>
        <w:t>have significant weight</w:t>
      </w:r>
      <w:r w:rsidR="00614CC6">
        <w:rPr>
          <w:rFonts w:ascii="Times" w:hAnsi="Times"/>
        </w:rPr>
        <w:t xml:space="preserve"> in a proportionality assessment</w:t>
      </w:r>
      <w:r w:rsidR="005F2EC0">
        <w:rPr>
          <w:rFonts w:ascii="Times" w:hAnsi="Times"/>
        </w:rPr>
        <w:t>.</w:t>
      </w:r>
      <w:r w:rsidR="00E83A2C">
        <w:rPr>
          <w:rFonts w:ascii="Times" w:hAnsi="Times"/>
        </w:rPr>
        <w:t xml:space="preserve"> </w:t>
      </w:r>
    </w:p>
    <w:p w14:paraId="14BC107E" w14:textId="77777777" w:rsidR="005F2EC0" w:rsidRPr="005F2EC0" w:rsidRDefault="005F2EC0" w:rsidP="00335BBC">
      <w:pPr>
        <w:pStyle w:val="ListParagraph"/>
        <w:spacing w:line="360" w:lineRule="auto"/>
        <w:rPr>
          <w:rFonts w:ascii="Times" w:hAnsi="Times"/>
        </w:rPr>
      </w:pPr>
    </w:p>
    <w:p w14:paraId="33FE4758" w14:textId="7ED2DBFF" w:rsidR="005F2EC0" w:rsidRPr="00F436D9" w:rsidRDefault="005F2EC0" w:rsidP="00335BBC">
      <w:pPr>
        <w:pStyle w:val="ListParagraph"/>
        <w:numPr>
          <w:ilvl w:val="0"/>
          <w:numId w:val="2"/>
        </w:numPr>
        <w:spacing w:line="360" w:lineRule="auto"/>
        <w:jc w:val="both"/>
        <w:rPr>
          <w:rFonts w:ascii="Times" w:hAnsi="Times" w:cs="Open Sans"/>
          <w:color w:val="000000"/>
          <w:shd w:val="clear" w:color="auto" w:fill="FFFFFF"/>
        </w:rPr>
      </w:pPr>
      <w:r>
        <w:rPr>
          <w:rFonts w:ascii="Times" w:hAnsi="Times"/>
        </w:rPr>
        <w:t>I</w:t>
      </w:r>
      <w:r w:rsidR="00414152">
        <w:rPr>
          <w:rFonts w:ascii="Times" w:hAnsi="Times"/>
        </w:rPr>
        <w:t xml:space="preserve">n </w:t>
      </w:r>
      <w:r>
        <w:rPr>
          <w:rFonts w:ascii="Times" w:hAnsi="Times"/>
        </w:rPr>
        <w:t xml:space="preserve">the U.S. Supreme Court in </w:t>
      </w:r>
      <w:r w:rsidRPr="005F2EC0">
        <w:rPr>
          <w:rFonts w:ascii="Times" w:hAnsi="Times"/>
          <w:i/>
          <w:iCs/>
        </w:rPr>
        <w:t>Patterson v New York</w:t>
      </w:r>
      <w:r w:rsidR="00190279">
        <w:rPr>
          <w:rStyle w:val="FootnoteReference"/>
          <w:rFonts w:ascii="Times" w:hAnsi="Times"/>
          <w:i/>
          <w:iCs/>
        </w:rPr>
        <w:footnoteReference w:id="49"/>
      </w:r>
      <w:r>
        <w:rPr>
          <w:rFonts w:ascii="Times" w:hAnsi="Times"/>
        </w:rPr>
        <w:t xml:space="preserve">, the Court had split in respect of the constitutionality of transferring the legal burden to prove a defence equivalent to diminished responsibility. </w:t>
      </w:r>
      <w:r>
        <w:rPr>
          <w:rFonts w:ascii="Times" w:hAnsi="Times" w:cs="Open Sans"/>
          <w:color w:val="000000"/>
          <w:shd w:val="clear" w:color="auto" w:fill="FFFFFF"/>
        </w:rPr>
        <w:t>On behalf of the majority</w:t>
      </w:r>
      <w:r w:rsidR="00523D35">
        <w:rPr>
          <w:rFonts w:ascii="Times" w:hAnsi="Times" w:cs="Open Sans"/>
          <w:color w:val="000000"/>
          <w:shd w:val="clear" w:color="auto" w:fill="FFFFFF"/>
        </w:rPr>
        <w:t xml:space="preserve"> permitting the transfer</w:t>
      </w:r>
      <w:r>
        <w:rPr>
          <w:rFonts w:ascii="Times" w:hAnsi="Times" w:cs="Open Sans"/>
          <w:color w:val="000000"/>
          <w:shd w:val="clear" w:color="auto" w:fill="FFFFFF"/>
        </w:rPr>
        <w:t xml:space="preserve">, </w:t>
      </w:r>
      <w:r w:rsidRPr="00F436D9">
        <w:rPr>
          <w:rFonts w:ascii="Times" w:hAnsi="Times" w:cs="Open Sans"/>
          <w:color w:val="000000"/>
          <w:shd w:val="clear" w:color="auto" w:fill="FFFFFF"/>
        </w:rPr>
        <w:t xml:space="preserve">White J </w:t>
      </w:r>
      <w:r w:rsidR="00523D35">
        <w:rPr>
          <w:rFonts w:ascii="Times" w:hAnsi="Times" w:cs="Open Sans"/>
          <w:color w:val="000000"/>
          <w:shd w:val="clear" w:color="auto" w:fill="FFFFFF"/>
        </w:rPr>
        <w:t xml:space="preserve">first </w:t>
      </w:r>
      <w:r>
        <w:rPr>
          <w:rFonts w:ascii="Times" w:hAnsi="Times" w:cs="Open Sans"/>
          <w:color w:val="000000"/>
          <w:shd w:val="clear" w:color="auto" w:fill="FFFFFF"/>
        </w:rPr>
        <w:t>acknowledged</w:t>
      </w:r>
      <w:r w:rsidRPr="00F436D9">
        <w:rPr>
          <w:rFonts w:ascii="Times" w:hAnsi="Times" w:cs="Open Sans"/>
          <w:color w:val="000000"/>
          <w:shd w:val="clear" w:color="auto" w:fill="FFFFFF"/>
        </w:rPr>
        <w:t xml:space="preserve"> the Court’s </w:t>
      </w:r>
      <w:r>
        <w:rPr>
          <w:rFonts w:ascii="Times" w:hAnsi="Times" w:cs="Open Sans"/>
          <w:color w:val="000000"/>
          <w:shd w:val="clear" w:color="auto" w:fill="FFFFFF"/>
        </w:rPr>
        <w:t xml:space="preserve">previous </w:t>
      </w:r>
      <w:r w:rsidRPr="00F436D9">
        <w:rPr>
          <w:rFonts w:ascii="Times" w:hAnsi="Times" w:cs="Open Sans"/>
          <w:color w:val="000000"/>
          <w:shd w:val="clear" w:color="auto" w:fill="FFFFFF"/>
        </w:rPr>
        <w:t xml:space="preserve">finding in </w:t>
      </w:r>
      <w:r w:rsidRPr="00F436D9">
        <w:rPr>
          <w:rFonts w:ascii="Times" w:hAnsi="Times" w:cs="Open Sans"/>
          <w:i/>
          <w:iCs/>
          <w:color w:val="000000"/>
          <w:shd w:val="clear" w:color="auto" w:fill="FFFFFF"/>
        </w:rPr>
        <w:t>Winship</w:t>
      </w:r>
      <w:r>
        <w:rPr>
          <w:rFonts w:ascii="Times" w:hAnsi="Times" w:cs="Open Sans"/>
          <w:i/>
          <w:iCs/>
          <w:color w:val="000000"/>
          <w:shd w:val="clear" w:color="auto" w:fill="FFFFFF"/>
        </w:rPr>
        <w:t xml:space="preserve">, </w:t>
      </w:r>
      <w:r w:rsidRPr="00F436D9">
        <w:rPr>
          <w:rFonts w:ascii="Times" w:hAnsi="Times" w:cs="Open Sans"/>
          <w:color w:val="000000"/>
          <w:shd w:val="clear" w:color="auto" w:fill="FFFFFF"/>
        </w:rPr>
        <w:t>that</w:t>
      </w:r>
      <w:r w:rsidRPr="00F436D9">
        <w:rPr>
          <w:rFonts w:ascii="Times" w:hAnsi="Times" w:cs="Open Sans"/>
          <w:i/>
          <w:iCs/>
          <w:color w:val="000000"/>
          <w:shd w:val="clear" w:color="auto" w:fill="FFFFFF"/>
        </w:rPr>
        <w:t>:</w:t>
      </w:r>
    </w:p>
    <w:p w14:paraId="3D03B9E9" w14:textId="77777777" w:rsidR="005F2EC0" w:rsidRDefault="005F2EC0" w:rsidP="00335BBC">
      <w:pPr>
        <w:pStyle w:val="ListParagraph"/>
        <w:spacing w:line="360" w:lineRule="auto"/>
        <w:ind w:left="360"/>
        <w:rPr>
          <w:rFonts w:ascii="Times" w:hAnsi="Times" w:cs="Open Sans"/>
          <w:color w:val="000000"/>
          <w:shd w:val="clear" w:color="auto" w:fill="FFFFFF"/>
        </w:rPr>
      </w:pPr>
    </w:p>
    <w:p w14:paraId="52FFE94C" w14:textId="50764AAA" w:rsidR="005F2EC0" w:rsidRDefault="005F2EC0" w:rsidP="00335BBC">
      <w:pPr>
        <w:pStyle w:val="ListParagraph"/>
        <w:spacing w:line="360" w:lineRule="auto"/>
        <w:jc w:val="both"/>
        <w:rPr>
          <w:rFonts w:ascii="Times" w:hAnsi="Times" w:cs="Open Sans"/>
          <w:i/>
          <w:iCs/>
          <w:color w:val="000000"/>
          <w:shd w:val="clear" w:color="auto" w:fill="FFFFFF"/>
        </w:rPr>
      </w:pPr>
      <w:r>
        <w:rPr>
          <w:rFonts w:ascii="Times" w:hAnsi="Times" w:cs="Open Sans"/>
          <w:i/>
          <w:iCs/>
          <w:color w:val="000000"/>
          <w:shd w:val="clear" w:color="auto" w:fill="FFFFFF"/>
        </w:rPr>
        <w:t>‘</w:t>
      </w:r>
      <w:r w:rsidRPr="00E23D71">
        <w:rPr>
          <w:rFonts w:ascii="Times" w:hAnsi="Times" w:cs="Open Sans"/>
          <w:i/>
          <w:iCs/>
          <w:color w:val="000000"/>
          <w:shd w:val="clear" w:color="auto" w:fill="FFFFFF"/>
        </w:rPr>
        <w:t>the requirement of proof beyond a reasonable doubt in a criminal case is "bottomed on a fundamental value determination of our society that it is far worse to convict an innocent man than to let a guilty man go free." </w:t>
      </w:r>
      <w:r w:rsidRPr="00E23D71">
        <w:rPr>
          <w:rStyle w:val="Emphasis"/>
          <w:rFonts w:ascii="Times" w:hAnsi="Times" w:cs="Open Sans"/>
          <w:i w:val="0"/>
          <w:iCs w:val="0"/>
          <w:color w:val="000000"/>
          <w:shd w:val="clear" w:color="auto" w:fill="FFFFFF"/>
        </w:rPr>
        <w:t>Winship,</w:t>
      </w:r>
      <w:r w:rsidRPr="00E23D71">
        <w:rPr>
          <w:rFonts w:ascii="Times" w:hAnsi="Times" w:cs="Open Sans"/>
          <w:i/>
          <w:iCs/>
          <w:color w:val="000000"/>
          <w:shd w:val="clear" w:color="auto" w:fill="FFFFFF"/>
        </w:rPr>
        <w:t> 397 U.S. at </w:t>
      </w:r>
      <w:hyperlink r:id="rId10" w:anchor="372" w:history="1">
        <w:r w:rsidRPr="00E23D71">
          <w:rPr>
            <w:rStyle w:val="Hyperlink"/>
            <w:rFonts w:ascii="Times" w:hAnsi="Times" w:cs="Open Sans"/>
            <w:i/>
            <w:iCs/>
            <w:color w:val="000000" w:themeColor="text1"/>
            <w:u w:val="none"/>
          </w:rPr>
          <w:t>397 U. S. 372</w:t>
        </w:r>
      </w:hyperlink>
      <w:r w:rsidRPr="00E23D71">
        <w:rPr>
          <w:rFonts w:ascii="Times" w:hAnsi="Times" w:cs="Open Sans"/>
          <w:i/>
          <w:iCs/>
          <w:color w:val="000000"/>
          <w:shd w:val="clear" w:color="auto" w:fill="FFFFFF"/>
        </w:rPr>
        <w:t> (Harlan, J., concurring).</w:t>
      </w:r>
      <w:r w:rsidR="00075D35">
        <w:rPr>
          <w:rFonts w:ascii="Times" w:hAnsi="Times" w:cs="Open Sans"/>
          <w:i/>
          <w:iCs/>
          <w:color w:val="000000"/>
          <w:shd w:val="clear" w:color="auto" w:fill="FFFFFF"/>
        </w:rPr>
        <w:t>’</w:t>
      </w:r>
      <w:r w:rsidR="00190279">
        <w:rPr>
          <w:rStyle w:val="FootnoteReference"/>
          <w:rFonts w:ascii="Times" w:hAnsi="Times" w:cs="Open Sans"/>
          <w:i/>
          <w:iCs/>
          <w:color w:val="000000"/>
          <w:shd w:val="clear" w:color="auto" w:fill="FFFFFF"/>
        </w:rPr>
        <w:footnoteReference w:id="50"/>
      </w:r>
    </w:p>
    <w:p w14:paraId="3EA5F7A7" w14:textId="77777777" w:rsidR="005F2EC0" w:rsidRDefault="005F2EC0" w:rsidP="00335BBC">
      <w:pPr>
        <w:pStyle w:val="ListParagraph"/>
        <w:spacing w:line="360" w:lineRule="auto"/>
        <w:jc w:val="both"/>
        <w:rPr>
          <w:rFonts w:ascii="Times" w:hAnsi="Times" w:cs="Open Sans"/>
          <w:i/>
          <w:iCs/>
          <w:color w:val="000000"/>
          <w:shd w:val="clear" w:color="auto" w:fill="FFFFFF"/>
        </w:rPr>
      </w:pPr>
    </w:p>
    <w:p w14:paraId="001AA2DB" w14:textId="77777777" w:rsidR="005F2EC0" w:rsidRDefault="005F2EC0" w:rsidP="00335BBC">
      <w:pPr>
        <w:pStyle w:val="ListParagraph"/>
        <w:numPr>
          <w:ilvl w:val="0"/>
          <w:numId w:val="2"/>
        </w:numPr>
        <w:spacing w:line="360" w:lineRule="auto"/>
        <w:jc w:val="both"/>
        <w:rPr>
          <w:rFonts w:ascii="Times" w:hAnsi="Times" w:cs="Open Sans"/>
          <w:color w:val="000000"/>
          <w:shd w:val="clear" w:color="auto" w:fill="FFFFFF"/>
        </w:rPr>
      </w:pPr>
      <w:r w:rsidRPr="003E0540">
        <w:rPr>
          <w:rFonts w:ascii="Times" w:hAnsi="Times" w:cs="Open Sans"/>
          <w:color w:val="000000"/>
          <w:shd w:val="clear" w:color="auto" w:fill="FFFFFF"/>
        </w:rPr>
        <w:t>He continued</w:t>
      </w:r>
      <w:r>
        <w:rPr>
          <w:rFonts w:ascii="Times" w:hAnsi="Times" w:cs="Open Sans"/>
          <w:color w:val="000000"/>
          <w:shd w:val="clear" w:color="auto" w:fill="FFFFFF"/>
        </w:rPr>
        <w:t>, however</w:t>
      </w:r>
      <w:r w:rsidRPr="003E0540">
        <w:rPr>
          <w:rFonts w:ascii="Times" w:hAnsi="Times" w:cs="Open Sans"/>
          <w:color w:val="000000"/>
          <w:shd w:val="clear" w:color="auto" w:fill="FFFFFF"/>
        </w:rPr>
        <w:t xml:space="preserve">: </w:t>
      </w:r>
    </w:p>
    <w:p w14:paraId="18E64F3A" w14:textId="77777777" w:rsidR="005F2EC0" w:rsidRPr="003E0540" w:rsidRDefault="005F2EC0" w:rsidP="00335BBC">
      <w:pPr>
        <w:pStyle w:val="ListParagraph"/>
        <w:spacing w:line="360" w:lineRule="auto"/>
        <w:ind w:left="360"/>
        <w:jc w:val="both"/>
        <w:rPr>
          <w:rFonts w:ascii="Times" w:hAnsi="Times" w:cs="Open Sans"/>
          <w:color w:val="000000"/>
          <w:shd w:val="clear" w:color="auto" w:fill="FFFFFF"/>
        </w:rPr>
      </w:pPr>
    </w:p>
    <w:p w14:paraId="567A293B" w14:textId="5E172CAB" w:rsidR="005F2EC0" w:rsidRDefault="005F2EC0" w:rsidP="00335BBC">
      <w:pPr>
        <w:pStyle w:val="ListParagraph"/>
        <w:spacing w:line="360" w:lineRule="auto"/>
        <w:jc w:val="both"/>
        <w:rPr>
          <w:rFonts w:ascii="Times" w:hAnsi="Times" w:cs="Open Sans"/>
          <w:i/>
          <w:iCs/>
          <w:color w:val="000000"/>
          <w:shd w:val="clear" w:color="auto" w:fill="FFFFFF"/>
        </w:rPr>
      </w:pPr>
      <w:r>
        <w:rPr>
          <w:rFonts w:ascii="Times" w:hAnsi="Times" w:cs="Open Sans"/>
          <w:i/>
          <w:iCs/>
          <w:color w:val="000000"/>
          <w:shd w:val="clear" w:color="auto" w:fill="FFFFFF"/>
        </w:rPr>
        <w:t>‘</w:t>
      </w:r>
      <w:r w:rsidRPr="00E23D71">
        <w:rPr>
          <w:rFonts w:ascii="Times" w:hAnsi="Times" w:cs="Open Sans"/>
          <w:i/>
          <w:iCs/>
          <w:color w:val="000000"/>
          <w:shd w:val="clear" w:color="auto" w:fill="FFFFFF"/>
        </w:rPr>
        <w:t>The social cost of placing the burden on the prosecution to prove guilt beyond a reasonable doubt is thus an increased risk that the guilty will go free. While it is clear that our society has willingly chosen to bear a substantial burden in order to protect the innocent, it is equally clear that the risk it must bear is not without limits; and Mr. Justice Harlan's aphorism provides little guidance for determining what those limits are. Due process does not require that every conceivable step be taken, at whatever cost, to eliminate the possibility of convicting an innocent person.</w:t>
      </w:r>
      <w:r w:rsidR="004412EB">
        <w:rPr>
          <w:rFonts w:ascii="Times" w:hAnsi="Times" w:cs="Open Sans"/>
          <w:i/>
          <w:iCs/>
          <w:color w:val="000000"/>
          <w:shd w:val="clear" w:color="auto" w:fill="FFFFFF"/>
        </w:rPr>
        <w:t>’</w:t>
      </w:r>
      <w:r w:rsidR="004412EB">
        <w:rPr>
          <w:rStyle w:val="FootnoteReference"/>
          <w:rFonts w:ascii="Times" w:hAnsi="Times" w:cs="Open Sans"/>
          <w:i/>
          <w:iCs/>
          <w:color w:val="000000"/>
          <w:shd w:val="clear" w:color="auto" w:fill="FFFFFF"/>
        </w:rPr>
        <w:footnoteReference w:id="51"/>
      </w:r>
    </w:p>
    <w:p w14:paraId="23ECB32F" w14:textId="77777777" w:rsidR="00523D35" w:rsidRPr="00523D35" w:rsidRDefault="00523D35" w:rsidP="00335BBC">
      <w:pPr>
        <w:spacing w:line="360" w:lineRule="auto"/>
        <w:jc w:val="both"/>
        <w:rPr>
          <w:rFonts w:ascii="Times" w:hAnsi="Times" w:cs="Open Sans"/>
          <w:i/>
          <w:iCs/>
          <w:color w:val="000000" w:themeColor="text1"/>
        </w:rPr>
      </w:pPr>
    </w:p>
    <w:p w14:paraId="52A9B8AB" w14:textId="35029BB6" w:rsidR="00523D35" w:rsidRPr="00675D8A" w:rsidRDefault="00523D35" w:rsidP="00335BBC">
      <w:pPr>
        <w:pStyle w:val="ListParagraph"/>
        <w:numPr>
          <w:ilvl w:val="0"/>
          <w:numId w:val="2"/>
        </w:numPr>
        <w:shd w:val="clear" w:color="auto" w:fill="FFFFFF"/>
        <w:spacing w:after="240" w:line="360" w:lineRule="auto"/>
        <w:jc w:val="both"/>
        <w:rPr>
          <w:rFonts w:ascii="Times" w:hAnsi="Times"/>
        </w:rPr>
      </w:pPr>
      <w:r>
        <w:rPr>
          <w:rFonts w:ascii="Times" w:hAnsi="Times"/>
        </w:rPr>
        <w:t>I</w:t>
      </w:r>
      <w:r w:rsidR="005F2EC0">
        <w:rPr>
          <w:rFonts w:ascii="Times" w:hAnsi="Times"/>
        </w:rPr>
        <w:t>f it is constitutionally acceptable</w:t>
      </w:r>
      <w:r w:rsidR="00414152">
        <w:rPr>
          <w:rFonts w:ascii="Times" w:hAnsi="Times"/>
        </w:rPr>
        <w:t xml:space="preserve"> </w:t>
      </w:r>
      <w:r w:rsidR="005F2EC0">
        <w:rPr>
          <w:rFonts w:ascii="Times" w:hAnsi="Times"/>
        </w:rPr>
        <w:t xml:space="preserve">to </w:t>
      </w:r>
      <w:r w:rsidR="00414152">
        <w:rPr>
          <w:rFonts w:ascii="Times" w:hAnsi="Times"/>
        </w:rPr>
        <w:t>allow for</w:t>
      </w:r>
      <w:r w:rsidR="005F2EC0">
        <w:rPr>
          <w:rFonts w:ascii="Times" w:hAnsi="Times"/>
        </w:rPr>
        <w:t xml:space="preserve"> the </w:t>
      </w:r>
      <w:r w:rsidR="000320C9">
        <w:rPr>
          <w:rFonts w:ascii="Times" w:hAnsi="Times"/>
        </w:rPr>
        <w:t xml:space="preserve">possible </w:t>
      </w:r>
      <w:r w:rsidR="005F2EC0">
        <w:rPr>
          <w:rFonts w:ascii="Times" w:hAnsi="Times"/>
        </w:rPr>
        <w:t>conviction of the innocent</w:t>
      </w:r>
      <w:r>
        <w:rPr>
          <w:rFonts w:ascii="Times" w:hAnsi="Times"/>
        </w:rPr>
        <w:t>,</w:t>
      </w:r>
      <w:r w:rsidR="005F2EC0">
        <w:rPr>
          <w:rFonts w:ascii="Times" w:hAnsi="Times"/>
        </w:rPr>
        <w:t xml:space="preserve"> </w:t>
      </w:r>
      <w:r w:rsidR="00414152">
        <w:rPr>
          <w:rFonts w:ascii="Times" w:hAnsi="Times"/>
        </w:rPr>
        <w:t xml:space="preserve">in order </w:t>
      </w:r>
      <w:r w:rsidR="005F2EC0">
        <w:rPr>
          <w:rFonts w:ascii="Times" w:hAnsi="Times"/>
        </w:rPr>
        <w:t>to vindicate the rights of victims and the community</w:t>
      </w:r>
      <w:r>
        <w:rPr>
          <w:rFonts w:ascii="Times" w:hAnsi="Times"/>
        </w:rPr>
        <w:t>,</w:t>
      </w:r>
      <w:r w:rsidR="005F2EC0">
        <w:rPr>
          <w:rFonts w:ascii="Times" w:hAnsi="Times"/>
        </w:rPr>
        <w:t xml:space="preserve"> then </w:t>
      </w:r>
      <w:r w:rsidR="00075D35">
        <w:rPr>
          <w:rFonts w:ascii="Times" w:hAnsi="Times"/>
        </w:rPr>
        <w:t>this must be based on a</w:t>
      </w:r>
      <w:r w:rsidR="005F2EC0">
        <w:rPr>
          <w:rFonts w:ascii="Times" w:hAnsi="Times"/>
        </w:rPr>
        <w:t xml:space="preserve"> </w:t>
      </w:r>
      <w:r w:rsidR="00C11A29" w:rsidRPr="00172FA8">
        <w:rPr>
          <w:rFonts w:ascii="Times" w:hAnsi="Times"/>
        </w:rPr>
        <w:t xml:space="preserve">proper evidential grounding </w:t>
      </w:r>
      <w:r>
        <w:rPr>
          <w:rFonts w:ascii="Times" w:hAnsi="Times"/>
        </w:rPr>
        <w:t>show</w:t>
      </w:r>
      <w:r w:rsidR="00075D35">
        <w:rPr>
          <w:rFonts w:ascii="Times" w:hAnsi="Times"/>
        </w:rPr>
        <w:t>ing</w:t>
      </w:r>
      <w:r>
        <w:rPr>
          <w:rFonts w:ascii="Times" w:hAnsi="Times"/>
        </w:rPr>
        <w:t xml:space="preserve"> why </w:t>
      </w:r>
      <w:r w:rsidR="00075D35">
        <w:rPr>
          <w:rFonts w:ascii="Times" w:hAnsi="Times"/>
        </w:rPr>
        <w:t>a</w:t>
      </w:r>
      <w:r>
        <w:rPr>
          <w:rFonts w:ascii="Times" w:hAnsi="Times"/>
        </w:rPr>
        <w:t xml:space="preserve"> prosecution would otherwise be </w:t>
      </w:r>
      <w:r w:rsidR="006F2864">
        <w:rPr>
          <w:rFonts w:ascii="Times" w:hAnsi="Times"/>
        </w:rPr>
        <w:t>unworkable</w:t>
      </w:r>
      <w:r w:rsidR="00414152">
        <w:rPr>
          <w:rFonts w:ascii="Times" w:hAnsi="Times"/>
        </w:rPr>
        <w:t xml:space="preserve">. </w:t>
      </w:r>
      <w:r w:rsidR="00075D35">
        <w:rPr>
          <w:rFonts w:ascii="Times" w:hAnsi="Times"/>
        </w:rPr>
        <w:t>It is submitted that t</w:t>
      </w:r>
      <w:r w:rsidR="00675D8A">
        <w:rPr>
          <w:rFonts w:ascii="Times" w:hAnsi="Times"/>
        </w:rPr>
        <w:t>his test will rarely be met</w:t>
      </w:r>
      <w:r>
        <w:rPr>
          <w:rFonts w:ascii="Times" w:hAnsi="Times"/>
        </w:rPr>
        <w:t xml:space="preserve">, as it is questionable to what extent the difference between a legal and evidential burden on the </w:t>
      </w:r>
      <w:r w:rsidR="0024544D">
        <w:rPr>
          <w:rFonts w:ascii="Times" w:hAnsi="Times"/>
        </w:rPr>
        <w:t>defence</w:t>
      </w:r>
      <w:r>
        <w:rPr>
          <w:rFonts w:ascii="Times" w:hAnsi="Times"/>
        </w:rPr>
        <w:t xml:space="preserve"> will actually be decisive.</w:t>
      </w:r>
      <w:r w:rsidR="00675D8A">
        <w:rPr>
          <w:rFonts w:ascii="Times" w:hAnsi="Times"/>
        </w:rPr>
        <w:t xml:space="preserve"> </w:t>
      </w:r>
      <w:r>
        <w:rPr>
          <w:rFonts w:ascii="Times" w:hAnsi="Times"/>
        </w:rPr>
        <w:t xml:space="preserve">As </w:t>
      </w:r>
      <w:r w:rsidRPr="00675D8A">
        <w:rPr>
          <w:rFonts w:ascii="Times" w:hAnsi="Times" w:cs="Open Sans"/>
          <w:color w:val="000000" w:themeColor="text1"/>
        </w:rPr>
        <w:t>Powell J</w:t>
      </w:r>
      <w:r>
        <w:rPr>
          <w:rFonts w:ascii="Times" w:hAnsi="Times" w:cs="Open Sans"/>
          <w:color w:val="000000" w:themeColor="text1"/>
        </w:rPr>
        <w:t>,</w:t>
      </w:r>
      <w:r w:rsidRPr="00675D8A">
        <w:rPr>
          <w:rFonts w:ascii="Times" w:hAnsi="Times" w:cs="Open Sans"/>
          <w:color w:val="000000" w:themeColor="text1"/>
        </w:rPr>
        <w:t xml:space="preserve"> on behalf of the minority</w:t>
      </w:r>
      <w:r>
        <w:rPr>
          <w:rFonts w:ascii="Times" w:hAnsi="Times" w:cs="Open Sans"/>
          <w:color w:val="000000" w:themeColor="text1"/>
        </w:rPr>
        <w:t xml:space="preserve">, noted in </w:t>
      </w:r>
      <w:r w:rsidRPr="00523D35">
        <w:rPr>
          <w:rFonts w:ascii="Times" w:hAnsi="Times" w:cs="Open Sans"/>
          <w:i/>
          <w:iCs/>
          <w:color w:val="000000" w:themeColor="text1"/>
        </w:rPr>
        <w:t>Patterson</w:t>
      </w:r>
      <w:r w:rsidRPr="00675D8A">
        <w:rPr>
          <w:rFonts w:ascii="Times" w:hAnsi="Times" w:cs="Open Sans"/>
          <w:color w:val="000000" w:themeColor="text1"/>
        </w:rPr>
        <w:t xml:space="preserve">: </w:t>
      </w:r>
    </w:p>
    <w:p w14:paraId="541E4EF6" w14:textId="77777777" w:rsidR="00523D35" w:rsidRPr="00C0442C" w:rsidRDefault="00523D35" w:rsidP="00335BBC">
      <w:pPr>
        <w:pStyle w:val="ListParagraph"/>
        <w:spacing w:line="360" w:lineRule="auto"/>
        <w:rPr>
          <w:rFonts w:ascii="Times" w:hAnsi="Times" w:cs="Open Sans"/>
          <w:color w:val="000000" w:themeColor="text1"/>
        </w:rPr>
      </w:pPr>
    </w:p>
    <w:p w14:paraId="29C82137" w14:textId="77777777" w:rsidR="00523D35" w:rsidRDefault="00523D35" w:rsidP="00335BBC">
      <w:pPr>
        <w:pStyle w:val="ListParagraph"/>
        <w:spacing w:line="360" w:lineRule="auto"/>
        <w:jc w:val="both"/>
        <w:rPr>
          <w:rFonts w:ascii="Times" w:hAnsi="Times" w:cs="Open Sans"/>
          <w:i/>
          <w:iCs/>
          <w:color w:val="000000" w:themeColor="text1"/>
        </w:rPr>
      </w:pPr>
      <w:r>
        <w:rPr>
          <w:rFonts w:ascii="Times" w:hAnsi="Times" w:cs="Open Sans"/>
          <w:i/>
          <w:iCs/>
          <w:color w:val="000000" w:themeColor="text1"/>
        </w:rPr>
        <w:lastRenderedPageBreak/>
        <w:t>‘</w:t>
      </w:r>
      <w:r w:rsidRPr="00C0442C">
        <w:rPr>
          <w:rFonts w:ascii="Times" w:hAnsi="Times" w:cs="Open Sans"/>
          <w:i/>
          <w:iCs/>
          <w:color w:val="000000" w:themeColor="text1"/>
        </w:rPr>
        <w:t>Ever since this Court's decision in</w:t>
      </w:r>
      <w:r>
        <w:rPr>
          <w:rFonts w:ascii="Times" w:hAnsi="Times" w:cs="Open Sans"/>
          <w:i/>
          <w:iCs/>
          <w:color w:val="000000" w:themeColor="text1"/>
        </w:rPr>
        <w:t xml:space="preserve"> Davis,</w:t>
      </w:r>
      <w:r w:rsidRPr="00C0442C">
        <w:rPr>
          <w:rFonts w:ascii="Times" w:hAnsi="Times" w:cs="Open Sans"/>
          <w:i/>
          <w:iCs/>
          <w:color w:val="000000" w:themeColor="text1"/>
        </w:rPr>
        <w:t xml:space="preserve"> federal prosecutors have borne the burden of persuasion with respect to factors like insanity, self-defense, and malice or provocation, once the defendant has carried </w:t>
      </w:r>
      <w:r w:rsidRPr="00172FA8">
        <w:rPr>
          <w:rFonts w:ascii="Times" w:hAnsi="Times" w:cs="Open Sans"/>
          <w:color w:val="000000" w:themeColor="text1"/>
        </w:rPr>
        <w:t>[the evidential burden].</w:t>
      </w:r>
      <w:r w:rsidRPr="00172FA8">
        <w:rPr>
          <w:rStyle w:val="Emphasis"/>
          <w:rFonts w:ascii="Times" w:hAnsi="Times" w:cs="Open Sans"/>
          <w:color w:val="000000" w:themeColor="text1"/>
        </w:rPr>
        <w:t>..</w:t>
      </w:r>
      <w:r w:rsidRPr="00C0442C">
        <w:rPr>
          <w:rFonts w:ascii="Times" w:hAnsi="Times" w:cs="Open Sans"/>
          <w:i/>
          <w:iCs/>
          <w:color w:val="000000" w:themeColor="text1"/>
        </w:rPr>
        <w:t xml:space="preserve"> </w:t>
      </w:r>
    </w:p>
    <w:p w14:paraId="7DAEF964" w14:textId="09FF7ACB" w:rsidR="00523D35" w:rsidRDefault="00523D35" w:rsidP="00335BBC">
      <w:pPr>
        <w:pStyle w:val="ListParagraph"/>
        <w:spacing w:line="360" w:lineRule="auto"/>
        <w:jc w:val="both"/>
        <w:rPr>
          <w:rFonts w:ascii="Times" w:hAnsi="Times" w:cs="Open Sans"/>
          <w:i/>
          <w:iCs/>
          <w:color w:val="000000" w:themeColor="text1"/>
        </w:rPr>
      </w:pPr>
      <w:r w:rsidRPr="00C0442C">
        <w:rPr>
          <w:rFonts w:ascii="Times" w:hAnsi="Times" w:cs="Open Sans"/>
          <w:i/>
          <w:iCs/>
          <w:color w:val="000000" w:themeColor="text1"/>
        </w:rPr>
        <w:t>I know of no indication that this practice has proven a noticeable handicap to effective law enforcement.</w:t>
      </w:r>
      <w:r>
        <w:rPr>
          <w:rFonts w:ascii="Times" w:hAnsi="Times" w:cs="Open Sans"/>
          <w:i/>
          <w:iCs/>
          <w:color w:val="000000" w:themeColor="text1"/>
        </w:rPr>
        <w:t>’</w:t>
      </w:r>
      <w:r w:rsidR="004412EB">
        <w:rPr>
          <w:rStyle w:val="FootnoteReference"/>
          <w:rFonts w:ascii="Times" w:hAnsi="Times" w:cs="Open Sans"/>
          <w:i/>
          <w:iCs/>
          <w:color w:val="000000" w:themeColor="text1"/>
        </w:rPr>
        <w:footnoteReference w:id="52"/>
      </w:r>
    </w:p>
    <w:p w14:paraId="63E2E87A" w14:textId="77777777" w:rsidR="00523D35" w:rsidRDefault="00523D35" w:rsidP="00335BBC">
      <w:pPr>
        <w:pStyle w:val="ListParagraph"/>
        <w:shd w:val="clear" w:color="auto" w:fill="FFFFFF"/>
        <w:spacing w:after="240" w:line="360" w:lineRule="auto"/>
        <w:ind w:left="360"/>
        <w:jc w:val="both"/>
      </w:pPr>
    </w:p>
    <w:p w14:paraId="1344AACA" w14:textId="7DFBDE12" w:rsidR="0050321D" w:rsidRDefault="00675D8A" w:rsidP="00335BBC">
      <w:pPr>
        <w:pStyle w:val="ListParagraph"/>
        <w:numPr>
          <w:ilvl w:val="0"/>
          <w:numId w:val="2"/>
        </w:numPr>
        <w:spacing w:line="360" w:lineRule="auto"/>
        <w:jc w:val="both"/>
      </w:pPr>
      <w:r w:rsidRPr="0050321D">
        <w:t xml:space="preserve">The High Court decision in </w:t>
      </w:r>
      <w:r w:rsidRPr="00614CC6">
        <w:rPr>
          <w:i/>
          <w:iCs/>
        </w:rPr>
        <w:t>McNally v Ireland</w:t>
      </w:r>
      <w:r w:rsidR="004412EB">
        <w:rPr>
          <w:rStyle w:val="FootnoteReference"/>
          <w:i/>
          <w:iCs/>
        </w:rPr>
        <w:footnoteReference w:id="53"/>
      </w:r>
      <w:r w:rsidRPr="0050321D">
        <w:t xml:space="preserve"> </w:t>
      </w:r>
      <w:r w:rsidR="000A28A0">
        <w:t>is</w:t>
      </w:r>
      <w:r w:rsidR="000A28A0" w:rsidRPr="0050321D">
        <w:t xml:space="preserve"> consistent</w:t>
      </w:r>
      <w:r w:rsidR="000A28A0">
        <w:t xml:space="preserve"> </w:t>
      </w:r>
      <w:r w:rsidR="000A28A0" w:rsidRPr="0050321D">
        <w:t>with the proposition</w:t>
      </w:r>
      <w:r w:rsidR="000A28A0">
        <w:t xml:space="preserve"> that the creation of an</w:t>
      </w:r>
      <w:r w:rsidR="006F2864">
        <w:t xml:space="preserve"> unworkable</w:t>
      </w:r>
      <w:r w:rsidR="000A28A0">
        <w:t xml:space="preserve"> burden </w:t>
      </w:r>
      <w:r w:rsidR="006F2864">
        <w:t xml:space="preserve">on </w:t>
      </w:r>
      <w:r w:rsidR="000A28A0">
        <w:t xml:space="preserve">the prosecution </w:t>
      </w:r>
      <w:r w:rsidR="00075D35">
        <w:t>may</w:t>
      </w:r>
      <w:r w:rsidR="000A28A0">
        <w:t xml:space="preserve"> merit the transfer of the legal burden to the accused. S.</w:t>
      </w:r>
      <w:r w:rsidR="00075D35" w:rsidRPr="0050321D">
        <w:t>99 of the Charities Act 2009</w:t>
      </w:r>
      <w:r w:rsidR="00075D35">
        <w:t xml:space="preserve"> </w:t>
      </w:r>
      <w:r w:rsidRPr="0050321D">
        <w:t xml:space="preserve">created </w:t>
      </w:r>
      <w:r w:rsidR="000A28A0">
        <w:t>an</w:t>
      </w:r>
      <w:r w:rsidRPr="0050321D">
        <w:t xml:space="preserve"> offence of selling a mass card otherwise than pursuant to an arrangement with a recognised person. The legislation provided for a system of verification with a Bishop or </w:t>
      </w:r>
      <w:r w:rsidR="000A28A0">
        <w:t>a p</w:t>
      </w:r>
      <w:r w:rsidRPr="0050321D">
        <w:t xml:space="preserve">rovincial </w:t>
      </w:r>
      <w:r w:rsidR="005B1B3D" w:rsidRPr="0050321D">
        <w:t xml:space="preserve">(of which it would appear there were 7000 worldwide) </w:t>
      </w:r>
      <w:r w:rsidRPr="0050321D">
        <w:t xml:space="preserve">by which it </w:t>
      </w:r>
      <w:r w:rsidR="000A28A0">
        <w:t>could</w:t>
      </w:r>
      <w:r w:rsidRPr="0050321D">
        <w:t xml:space="preserve"> be ensured that a mass would take place. The impugned section provided that in a prosecution, it </w:t>
      </w:r>
      <w:r w:rsidR="000A28A0">
        <w:t>was to</w:t>
      </w:r>
      <w:r w:rsidRPr="0050321D">
        <w:t xml:space="preserve"> be presumed that no such arrangement was in place. This presumption </w:t>
      </w:r>
      <w:r w:rsidR="000A28A0">
        <w:t>could be</w:t>
      </w:r>
      <w:r w:rsidRPr="0050321D">
        <w:t xml:space="preserve"> rebutted</w:t>
      </w:r>
      <w:r w:rsidR="000A28A0">
        <w:t xml:space="preserve"> by an accused</w:t>
      </w:r>
      <w:r w:rsidRPr="0050321D">
        <w:t xml:space="preserve"> on the balance of probabilities. McMenamin J held that absent such a legislative framework</w:t>
      </w:r>
      <w:r w:rsidR="000A28A0">
        <w:t>,</w:t>
      </w:r>
      <w:r w:rsidRPr="0050321D">
        <w:t xml:space="preserve"> the existence of an offence would not </w:t>
      </w:r>
      <w:r w:rsidR="0050321D" w:rsidRPr="0050321D">
        <w:t xml:space="preserve">be </w:t>
      </w:r>
      <w:r w:rsidRPr="0050321D">
        <w:t xml:space="preserve">susceptible to proof as the prosecution would be required to negative </w:t>
      </w:r>
      <w:r w:rsidR="0050321D" w:rsidRPr="0050321D">
        <w:t xml:space="preserve">the possibility of </w:t>
      </w:r>
      <w:r w:rsidRPr="0050321D">
        <w:t xml:space="preserve">thousands of possible </w:t>
      </w:r>
      <w:r w:rsidR="0050321D" w:rsidRPr="0050321D">
        <w:t xml:space="preserve">arrangements that an accused might have with a Bishop or provincial. </w:t>
      </w:r>
    </w:p>
    <w:p w14:paraId="03F6D0BC" w14:textId="77777777" w:rsidR="0050321D" w:rsidRDefault="0050321D" w:rsidP="00335BBC">
      <w:pPr>
        <w:pStyle w:val="ListParagraph"/>
        <w:spacing w:line="360" w:lineRule="auto"/>
        <w:ind w:left="360"/>
      </w:pPr>
    </w:p>
    <w:p w14:paraId="191625AD" w14:textId="4874577B" w:rsidR="0050321D" w:rsidRPr="0050321D" w:rsidRDefault="000A28A0" w:rsidP="00335BBC">
      <w:pPr>
        <w:pStyle w:val="ListParagraph"/>
        <w:numPr>
          <w:ilvl w:val="0"/>
          <w:numId w:val="2"/>
        </w:numPr>
        <w:spacing w:line="360" w:lineRule="auto"/>
        <w:jc w:val="both"/>
      </w:pPr>
      <w:r>
        <w:t xml:space="preserve">The outcome of </w:t>
      </w:r>
      <w:r w:rsidRPr="000A28A0">
        <w:rPr>
          <w:i/>
          <w:iCs/>
        </w:rPr>
        <w:t>McNally</w:t>
      </w:r>
      <w:r w:rsidR="0050321D" w:rsidRPr="000A28A0">
        <w:rPr>
          <w:i/>
          <w:iCs/>
        </w:rPr>
        <w:t xml:space="preserve"> </w:t>
      </w:r>
      <w:r w:rsidR="0050321D">
        <w:t>is also consistent with case</w:t>
      </w:r>
      <w:r>
        <w:t>s including</w:t>
      </w:r>
      <w:r w:rsidR="0050321D">
        <w:t xml:space="preserve"> from Canada</w:t>
      </w:r>
      <w:r w:rsidR="0050321D">
        <w:rPr>
          <w:rStyle w:val="FootnoteReference"/>
        </w:rPr>
        <w:footnoteReference w:id="54"/>
      </w:r>
      <w:r w:rsidR="0050321D">
        <w:t xml:space="preserve"> and the United Kingdom</w:t>
      </w:r>
      <w:r w:rsidR="0050321D">
        <w:rPr>
          <w:rStyle w:val="FootnoteReference"/>
        </w:rPr>
        <w:footnoteReference w:id="55"/>
      </w:r>
      <w:r w:rsidR="0050321D">
        <w:t xml:space="preserve">, in respect of placing </w:t>
      </w:r>
      <w:r>
        <w:t>an</w:t>
      </w:r>
      <w:r w:rsidR="0050321D">
        <w:t xml:space="preserve"> onus on an accused in a regulatory prosecution to prove matters peculiarly within their own knowledge, such as the existence of a valid licence for what would otherwise </w:t>
      </w:r>
      <w:r>
        <w:t xml:space="preserve">be </w:t>
      </w:r>
      <w:r w:rsidR="0050321D">
        <w:t>unlawful</w:t>
      </w:r>
      <w:r>
        <w:t xml:space="preserve"> conduct</w:t>
      </w:r>
      <w:r w:rsidR="0050321D">
        <w:t xml:space="preserve">. </w:t>
      </w:r>
      <w:r w:rsidR="00F87F5F">
        <w:t xml:space="preserve">It must, however, remain open to question whether, beyond the special case of insanity / diminished responsibility or regulatory offences, such as in </w:t>
      </w:r>
      <w:r w:rsidR="00F87F5F" w:rsidRPr="00EE7625">
        <w:rPr>
          <w:i/>
          <w:iCs/>
        </w:rPr>
        <w:t>McNally</w:t>
      </w:r>
      <w:r w:rsidR="00F87F5F">
        <w:t>, the imposition of a legal burden on an accused could be constitutionally permissible.</w:t>
      </w:r>
    </w:p>
    <w:p w14:paraId="673F0900" w14:textId="5066887F" w:rsidR="00C11A29" w:rsidRDefault="00C11A29" w:rsidP="00335BBC">
      <w:pPr>
        <w:pStyle w:val="ListParagraph"/>
        <w:spacing w:line="360" w:lineRule="auto"/>
        <w:ind w:left="360"/>
        <w:jc w:val="both"/>
        <w:rPr>
          <w:rFonts w:ascii="Times" w:hAnsi="Times"/>
          <w:i/>
          <w:iCs/>
          <w:color w:val="000000" w:themeColor="text1"/>
        </w:rPr>
      </w:pPr>
    </w:p>
    <w:p w14:paraId="088F5B23" w14:textId="49253532" w:rsidR="008A2CAF" w:rsidRDefault="008A2CAF" w:rsidP="00335BBC">
      <w:pPr>
        <w:pStyle w:val="ListParagraph"/>
        <w:spacing w:line="360" w:lineRule="auto"/>
        <w:ind w:left="360"/>
        <w:jc w:val="both"/>
        <w:rPr>
          <w:rFonts w:ascii="Times" w:hAnsi="Times"/>
          <w:i/>
          <w:iCs/>
          <w:color w:val="000000" w:themeColor="text1"/>
        </w:rPr>
      </w:pPr>
    </w:p>
    <w:p w14:paraId="33769F26" w14:textId="77777777" w:rsidR="008A2CAF" w:rsidRPr="00FA61E2" w:rsidRDefault="008A2CAF" w:rsidP="00335BBC">
      <w:pPr>
        <w:pStyle w:val="ListParagraph"/>
        <w:spacing w:line="360" w:lineRule="auto"/>
        <w:ind w:left="360"/>
        <w:jc w:val="both"/>
        <w:rPr>
          <w:rFonts w:ascii="Times" w:hAnsi="Times"/>
          <w:i/>
          <w:iCs/>
          <w:color w:val="000000" w:themeColor="text1"/>
        </w:rPr>
      </w:pPr>
    </w:p>
    <w:p w14:paraId="66CEEFC0" w14:textId="4D47C5CC" w:rsidR="003D7189" w:rsidRPr="0046334C" w:rsidRDefault="00E3746D" w:rsidP="00E3746D">
      <w:pPr>
        <w:pStyle w:val="Heading1"/>
      </w:pPr>
      <w:bookmarkStart w:id="12" w:name="_Toc128532598"/>
      <w:r>
        <w:lastRenderedPageBreak/>
        <w:t xml:space="preserve">Presumptions of </w:t>
      </w:r>
      <w:r w:rsidR="0064272C">
        <w:t>f</w:t>
      </w:r>
      <w:r>
        <w:t>act and proportionality</w:t>
      </w:r>
      <w:bookmarkEnd w:id="12"/>
    </w:p>
    <w:p w14:paraId="2A126262" w14:textId="77777777" w:rsidR="0046334C" w:rsidRPr="0046334C" w:rsidRDefault="0046334C" w:rsidP="00335BBC">
      <w:pPr>
        <w:spacing w:line="360" w:lineRule="auto"/>
        <w:ind w:firstLine="360"/>
        <w:rPr>
          <w:rFonts w:ascii="Times" w:hAnsi="Times"/>
          <w:color w:val="000000"/>
        </w:rPr>
      </w:pPr>
    </w:p>
    <w:p w14:paraId="2BD08745" w14:textId="6059B115" w:rsidR="003D7189" w:rsidRPr="00D20F08" w:rsidRDefault="003D7189" w:rsidP="00335BBC">
      <w:pPr>
        <w:pStyle w:val="ListParagraph"/>
        <w:numPr>
          <w:ilvl w:val="0"/>
          <w:numId w:val="2"/>
        </w:numPr>
        <w:spacing w:line="360" w:lineRule="auto"/>
        <w:jc w:val="both"/>
        <w:rPr>
          <w:rFonts w:ascii="Times" w:hAnsi="Times"/>
          <w:i/>
          <w:iCs/>
        </w:rPr>
      </w:pPr>
      <w:r>
        <w:rPr>
          <w:rFonts w:ascii="Times" w:hAnsi="Times"/>
        </w:rPr>
        <w:t xml:space="preserve">The impugned provision creates a presumption of fact: that a person who has sex with a child under 17 </w:t>
      </w:r>
      <w:r w:rsidR="005F5248">
        <w:rPr>
          <w:rFonts w:ascii="Times" w:hAnsi="Times"/>
        </w:rPr>
        <w:t>must have</w:t>
      </w:r>
      <w:r>
        <w:rPr>
          <w:rFonts w:ascii="Times" w:hAnsi="Times"/>
        </w:rPr>
        <w:t xml:space="preserve"> know</w:t>
      </w:r>
      <w:r w:rsidR="005F5248">
        <w:rPr>
          <w:rFonts w:ascii="Times" w:hAnsi="Times"/>
        </w:rPr>
        <w:t xml:space="preserve">n </w:t>
      </w:r>
      <w:r>
        <w:rPr>
          <w:rFonts w:ascii="Times" w:hAnsi="Times"/>
        </w:rPr>
        <w:t>that they were under 17. This is a mandatory</w:t>
      </w:r>
      <w:r w:rsidR="005F5248">
        <w:rPr>
          <w:rFonts w:ascii="Times" w:hAnsi="Times"/>
        </w:rPr>
        <w:t>,</w:t>
      </w:r>
      <w:r>
        <w:rPr>
          <w:rFonts w:ascii="Times" w:hAnsi="Times"/>
        </w:rPr>
        <w:t xml:space="preserve"> persuasive presumption: mandatory</w:t>
      </w:r>
      <w:r w:rsidR="004C19B0">
        <w:rPr>
          <w:rFonts w:ascii="Times" w:hAnsi="Times"/>
        </w:rPr>
        <w:t>,</w:t>
      </w:r>
      <w:r>
        <w:rPr>
          <w:rFonts w:ascii="Times" w:hAnsi="Times"/>
        </w:rPr>
        <w:t xml:space="preserve"> </w:t>
      </w:r>
      <w:r w:rsidR="000A28A0">
        <w:rPr>
          <w:rFonts w:ascii="Times" w:hAnsi="Times"/>
        </w:rPr>
        <w:t>as</w:t>
      </w:r>
      <w:r>
        <w:rPr>
          <w:rFonts w:ascii="Times" w:hAnsi="Times"/>
        </w:rPr>
        <w:t xml:space="preserve"> the jury must find the presumed fact unless the accused p</w:t>
      </w:r>
      <w:r w:rsidR="005F5248">
        <w:rPr>
          <w:rFonts w:ascii="Times" w:hAnsi="Times"/>
        </w:rPr>
        <w:t>ersuades them</w:t>
      </w:r>
      <w:r>
        <w:rPr>
          <w:rFonts w:ascii="Times" w:hAnsi="Times"/>
        </w:rPr>
        <w:t xml:space="preserve"> otherwise</w:t>
      </w:r>
      <w:r w:rsidR="004C19B0">
        <w:rPr>
          <w:rFonts w:ascii="Times" w:hAnsi="Times"/>
        </w:rPr>
        <w:t>;</w:t>
      </w:r>
      <w:r w:rsidR="005F5248">
        <w:rPr>
          <w:rFonts w:ascii="Times" w:hAnsi="Times"/>
        </w:rPr>
        <w:t xml:space="preserve"> and persuasive</w:t>
      </w:r>
      <w:r w:rsidR="004C19B0">
        <w:rPr>
          <w:rFonts w:ascii="Times" w:hAnsi="Times"/>
        </w:rPr>
        <w:t>,</w:t>
      </w:r>
      <w:r w:rsidR="005F5248">
        <w:rPr>
          <w:rFonts w:ascii="Times" w:hAnsi="Times"/>
        </w:rPr>
        <w:t xml:space="preserve"> in that the accused must prove otherwise to the civil standard of proof.</w:t>
      </w:r>
      <w:r>
        <w:rPr>
          <w:rFonts w:ascii="Times" w:hAnsi="Times"/>
        </w:rPr>
        <w:t xml:space="preserve"> </w:t>
      </w:r>
    </w:p>
    <w:p w14:paraId="79E238D5" w14:textId="77777777" w:rsidR="003D7189" w:rsidRPr="003D7189" w:rsidRDefault="003D7189" w:rsidP="00335BBC">
      <w:pPr>
        <w:pStyle w:val="ListParagraph"/>
        <w:spacing w:line="360" w:lineRule="auto"/>
        <w:ind w:left="360"/>
        <w:jc w:val="both"/>
        <w:rPr>
          <w:rFonts w:ascii="Times" w:hAnsi="Times"/>
          <w:i/>
          <w:iCs/>
        </w:rPr>
      </w:pPr>
    </w:p>
    <w:p w14:paraId="76AB2A41" w14:textId="33B3F639" w:rsidR="003D7189" w:rsidRPr="00075D35" w:rsidRDefault="005F5248" w:rsidP="00335BBC">
      <w:pPr>
        <w:pStyle w:val="ListParagraph"/>
        <w:numPr>
          <w:ilvl w:val="0"/>
          <w:numId w:val="2"/>
        </w:numPr>
        <w:spacing w:line="360" w:lineRule="auto"/>
        <w:jc w:val="both"/>
        <w:rPr>
          <w:rFonts w:ascii="Times" w:hAnsi="Times"/>
          <w:i/>
          <w:iCs/>
          <w:color w:val="000000" w:themeColor="text1"/>
        </w:rPr>
      </w:pPr>
      <w:r w:rsidRPr="00075D35">
        <w:rPr>
          <w:rFonts w:ascii="Times" w:hAnsi="Times"/>
          <w:color w:val="000000" w:themeColor="text1"/>
        </w:rPr>
        <w:t xml:space="preserve">In </w:t>
      </w:r>
      <w:r w:rsidR="003D7189" w:rsidRPr="00075D35">
        <w:rPr>
          <w:rFonts w:ascii="Times" w:hAnsi="Times"/>
          <w:i/>
          <w:iCs/>
          <w:color w:val="000000" w:themeColor="text1"/>
        </w:rPr>
        <w:t>McNulty v Ireland</w:t>
      </w:r>
      <w:r w:rsidR="004412EB">
        <w:rPr>
          <w:rStyle w:val="FootnoteReference"/>
          <w:rFonts w:ascii="Times" w:hAnsi="Times"/>
          <w:i/>
          <w:iCs/>
          <w:color w:val="000000" w:themeColor="text1"/>
        </w:rPr>
        <w:footnoteReference w:id="56"/>
      </w:r>
      <w:r w:rsidRPr="00075D35">
        <w:rPr>
          <w:rFonts w:ascii="Times" w:hAnsi="Times"/>
          <w:color w:val="000000" w:themeColor="text1"/>
        </w:rPr>
        <w:t xml:space="preserve">, </w:t>
      </w:r>
      <w:r w:rsidR="003D7189" w:rsidRPr="00075D35">
        <w:rPr>
          <w:rFonts w:ascii="Times" w:hAnsi="Times"/>
          <w:color w:val="000000" w:themeColor="text1"/>
        </w:rPr>
        <w:t>Murray J.</w:t>
      </w:r>
      <w:r w:rsidRPr="00075D35">
        <w:rPr>
          <w:rFonts w:ascii="Times" w:hAnsi="Times"/>
          <w:color w:val="000000" w:themeColor="text1"/>
        </w:rPr>
        <w:t xml:space="preserve"> as he then was</w:t>
      </w:r>
      <w:r w:rsidR="003D7189" w:rsidRPr="00075D35">
        <w:rPr>
          <w:rFonts w:ascii="Times" w:hAnsi="Times"/>
          <w:color w:val="000000" w:themeColor="text1"/>
        </w:rPr>
        <w:t xml:space="preserve">, </w:t>
      </w:r>
      <w:r w:rsidRPr="00075D35">
        <w:rPr>
          <w:rFonts w:ascii="Times" w:hAnsi="Times"/>
          <w:color w:val="000000" w:themeColor="text1"/>
        </w:rPr>
        <w:t>addressed a</w:t>
      </w:r>
      <w:r w:rsidR="003D7189" w:rsidRPr="00075D35">
        <w:rPr>
          <w:rFonts w:ascii="Times" w:hAnsi="Times"/>
          <w:color w:val="000000" w:themeColor="text1"/>
        </w:rPr>
        <w:t xml:space="preserve"> </w:t>
      </w:r>
      <w:r w:rsidRPr="00075D35">
        <w:rPr>
          <w:rFonts w:ascii="Times" w:hAnsi="Times"/>
          <w:color w:val="000000" w:themeColor="text1"/>
        </w:rPr>
        <w:t>presumption of fact created by statute in the context of the shifting of an evidential burden. He said as follows</w:t>
      </w:r>
      <w:r w:rsidR="003D7189" w:rsidRPr="00075D35">
        <w:rPr>
          <w:rFonts w:ascii="Times" w:hAnsi="Times"/>
          <w:color w:val="000000" w:themeColor="text1"/>
        </w:rPr>
        <w:t>:</w:t>
      </w:r>
    </w:p>
    <w:p w14:paraId="1F80E897" w14:textId="77777777" w:rsidR="003D7189" w:rsidRPr="00075D35" w:rsidRDefault="003D7189" w:rsidP="00335BBC">
      <w:pPr>
        <w:pStyle w:val="ListParagraph"/>
        <w:spacing w:line="360" w:lineRule="auto"/>
        <w:rPr>
          <w:rFonts w:ascii="Times" w:hAnsi="Times"/>
          <w:i/>
          <w:iCs/>
          <w:color w:val="000000" w:themeColor="text1"/>
        </w:rPr>
      </w:pPr>
    </w:p>
    <w:p w14:paraId="2F67AEC4" w14:textId="77777777" w:rsidR="003D7189" w:rsidRPr="00075D35" w:rsidRDefault="003D7189" w:rsidP="00335BBC">
      <w:pPr>
        <w:pStyle w:val="ListParagraph"/>
        <w:spacing w:line="360" w:lineRule="auto"/>
        <w:jc w:val="both"/>
        <w:rPr>
          <w:rFonts w:ascii="Times" w:hAnsi="Times"/>
          <w:i/>
          <w:iCs/>
          <w:color w:val="000000" w:themeColor="text1"/>
        </w:rPr>
      </w:pPr>
      <w:r w:rsidRPr="00075D35">
        <w:rPr>
          <w:rFonts w:ascii="Times" w:hAnsi="Times"/>
          <w:i/>
          <w:iCs/>
          <w:color w:val="000000" w:themeColor="text1"/>
        </w:rPr>
        <w:t>‘… it would never be permissible to have a rule of law, in a statute or otherwise, which arbitrarily deemed proof of a particular fact to be evidence of another fact, when there was no reasonable connection between the two. In other words, any statutory provision which declares that proof of one fact shall be evidence as to the existence of another fact, the former fact must be reasonably capable of giving rise to a conclusion that the latter fact may be inferred.’</w:t>
      </w:r>
    </w:p>
    <w:p w14:paraId="50ADCDB7" w14:textId="77777777" w:rsidR="003D7189" w:rsidRPr="00BC6543" w:rsidRDefault="003D7189" w:rsidP="00335BBC">
      <w:pPr>
        <w:spacing w:line="360" w:lineRule="auto"/>
        <w:jc w:val="both"/>
        <w:rPr>
          <w:rFonts w:ascii="Times" w:hAnsi="Times" w:cs="Open Sans"/>
          <w:i/>
          <w:iCs/>
          <w:color w:val="000000"/>
          <w:shd w:val="clear" w:color="auto" w:fill="FFFFFF"/>
        </w:rPr>
      </w:pPr>
    </w:p>
    <w:p w14:paraId="42DF5819" w14:textId="587B4AAA" w:rsidR="00E979DD" w:rsidRPr="000A28A0" w:rsidRDefault="004C19B0"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This finding has particular resonance in the context of statute</w:t>
      </w:r>
      <w:r w:rsidR="000A28A0">
        <w:rPr>
          <w:rFonts w:ascii="Times" w:hAnsi="Times" w:cs="Open Sans"/>
          <w:color w:val="000000" w:themeColor="text1"/>
        </w:rPr>
        <w:t>s</w:t>
      </w:r>
      <w:r>
        <w:rPr>
          <w:rFonts w:ascii="Times" w:hAnsi="Times" w:cs="Open Sans"/>
          <w:color w:val="000000" w:themeColor="text1"/>
        </w:rPr>
        <w:t xml:space="preserve"> which shift the legal burden. Some examples from other common law jurisdictions demonstrate this. </w:t>
      </w:r>
      <w:r w:rsidRPr="000A28A0">
        <w:rPr>
          <w:rFonts w:ascii="Times" w:hAnsi="Times"/>
        </w:rPr>
        <w:t>In the South African</w:t>
      </w:r>
      <w:r w:rsidR="00D51838" w:rsidRPr="000A28A0">
        <w:rPr>
          <w:rFonts w:ascii="Times" w:hAnsi="Times"/>
        </w:rPr>
        <w:t xml:space="preserve"> </w:t>
      </w:r>
      <w:r w:rsidR="00001222" w:rsidRPr="000A28A0">
        <w:rPr>
          <w:rFonts w:ascii="Times" w:hAnsi="Times"/>
        </w:rPr>
        <w:t>case of</w:t>
      </w:r>
      <w:r w:rsidR="00D51838" w:rsidRPr="000A28A0">
        <w:rPr>
          <w:rFonts w:ascii="Times" w:hAnsi="Times"/>
        </w:rPr>
        <w:t xml:space="preserve"> </w:t>
      </w:r>
      <w:r w:rsidR="00D51838" w:rsidRPr="000A28A0">
        <w:rPr>
          <w:rFonts w:ascii="Times" w:hAnsi="Times"/>
          <w:i/>
          <w:iCs/>
        </w:rPr>
        <w:t>Mbatha</w:t>
      </w:r>
      <w:r w:rsidR="004412EB">
        <w:rPr>
          <w:rStyle w:val="FootnoteReference"/>
          <w:rFonts w:ascii="Times" w:hAnsi="Times"/>
          <w:i/>
          <w:iCs/>
        </w:rPr>
        <w:footnoteReference w:id="57"/>
      </w:r>
      <w:r w:rsidRPr="000A28A0">
        <w:rPr>
          <w:rFonts w:ascii="Times" w:hAnsi="Times"/>
          <w:i/>
          <w:iCs/>
        </w:rPr>
        <w:t>,</w:t>
      </w:r>
      <w:r w:rsidR="00001222" w:rsidRPr="000A28A0">
        <w:rPr>
          <w:rFonts w:ascii="Times" w:hAnsi="Times"/>
        </w:rPr>
        <w:t xml:space="preserve"> cited above</w:t>
      </w:r>
      <w:r w:rsidRPr="000A28A0">
        <w:rPr>
          <w:rFonts w:ascii="Times" w:hAnsi="Times"/>
        </w:rPr>
        <w:t xml:space="preserve">, </w:t>
      </w:r>
      <w:r w:rsidR="00A84DE3" w:rsidRPr="000A28A0">
        <w:rPr>
          <w:rFonts w:ascii="Times" w:hAnsi="Times"/>
        </w:rPr>
        <w:t xml:space="preserve">a presumption </w:t>
      </w:r>
      <w:r w:rsidRPr="000A28A0">
        <w:rPr>
          <w:rFonts w:ascii="Times" w:hAnsi="Times"/>
        </w:rPr>
        <w:t xml:space="preserve">required </w:t>
      </w:r>
      <w:r w:rsidR="00A84DE3" w:rsidRPr="000A28A0">
        <w:rPr>
          <w:rFonts w:ascii="Times" w:hAnsi="Times"/>
        </w:rPr>
        <w:t xml:space="preserve">that </w:t>
      </w:r>
      <w:r w:rsidRPr="000A28A0">
        <w:rPr>
          <w:rFonts w:ascii="Times" w:hAnsi="Times"/>
        </w:rPr>
        <w:t>the</w:t>
      </w:r>
      <w:r w:rsidR="00A84DE3" w:rsidRPr="000A28A0">
        <w:rPr>
          <w:rFonts w:ascii="Times" w:hAnsi="Times"/>
        </w:rPr>
        <w:t xml:space="preserve"> </w:t>
      </w:r>
      <w:r w:rsidRPr="000A28A0">
        <w:rPr>
          <w:rFonts w:ascii="Times" w:hAnsi="Times"/>
        </w:rPr>
        <w:t xml:space="preserve">jury find, unless persuaded to the contrary by the accused, that a </w:t>
      </w:r>
      <w:r w:rsidR="00A84DE3" w:rsidRPr="000A28A0">
        <w:rPr>
          <w:rFonts w:ascii="Times" w:hAnsi="Times"/>
        </w:rPr>
        <w:t xml:space="preserve">firearm found in </w:t>
      </w:r>
      <w:r w:rsidRPr="000A28A0">
        <w:rPr>
          <w:rFonts w:ascii="Times" w:hAnsi="Times"/>
        </w:rPr>
        <w:t>a</w:t>
      </w:r>
      <w:r w:rsidR="00A84DE3" w:rsidRPr="000A28A0">
        <w:rPr>
          <w:rFonts w:ascii="Times" w:hAnsi="Times"/>
        </w:rPr>
        <w:t xml:space="preserve"> premises was in the possession of the occupier of that premises. </w:t>
      </w:r>
      <w:r w:rsidR="00E979DD" w:rsidRPr="000A28A0">
        <w:rPr>
          <w:rFonts w:ascii="Times" w:hAnsi="Times"/>
        </w:rPr>
        <w:t xml:space="preserve">Despite </w:t>
      </w:r>
      <w:r w:rsidR="00EB7902" w:rsidRPr="000A28A0">
        <w:rPr>
          <w:rFonts w:ascii="Times" w:hAnsi="Times"/>
        </w:rPr>
        <w:t xml:space="preserve">the </w:t>
      </w:r>
      <w:r w:rsidRPr="000A28A0">
        <w:rPr>
          <w:rFonts w:ascii="Times" w:hAnsi="Times"/>
        </w:rPr>
        <w:t xml:space="preserve">Constitutional </w:t>
      </w:r>
      <w:r w:rsidR="00EB7902" w:rsidRPr="000A28A0">
        <w:rPr>
          <w:rFonts w:ascii="Times" w:hAnsi="Times"/>
        </w:rPr>
        <w:t xml:space="preserve">Court </w:t>
      </w:r>
      <w:r w:rsidR="00E979DD" w:rsidRPr="000A28A0">
        <w:rPr>
          <w:rFonts w:ascii="Times" w:hAnsi="Times"/>
        </w:rPr>
        <w:t xml:space="preserve">being presented with evidence of a national crisis arising from gun crime and </w:t>
      </w:r>
      <w:r w:rsidR="003E0F03" w:rsidRPr="000A28A0">
        <w:rPr>
          <w:rFonts w:ascii="Times" w:hAnsi="Times"/>
        </w:rPr>
        <w:t>t</w:t>
      </w:r>
      <w:r w:rsidR="00E979DD" w:rsidRPr="000A28A0">
        <w:rPr>
          <w:rFonts w:ascii="Times" w:hAnsi="Times"/>
        </w:rPr>
        <w:t xml:space="preserve">he difficulty in proving </w:t>
      </w:r>
      <w:r w:rsidR="00EB7902" w:rsidRPr="000A28A0">
        <w:rPr>
          <w:rFonts w:ascii="Times" w:hAnsi="Times"/>
        </w:rPr>
        <w:t xml:space="preserve">such </w:t>
      </w:r>
      <w:r w:rsidR="00E979DD" w:rsidRPr="000A28A0">
        <w:rPr>
          <w:rFonts w:ascii="Times" w:hAnsi="Times"/>
        </w:rPr>
        <w:t xml:space="preserve">offences, the Court </w:t>
      </w:r>
      <w:r w:rsidRPr="000A28A0">
        <w:rPr>
          <w:rFonts w:ascii="Times" w:hAnsi="Times"/>
        </w:rPr>
        <w:t xml:space="preserve">declared the presumption unconstitutional and </w:t>
      </w:r>
      <w:r w:rsidR="00E979DD" w:rsidRPr="000A28A0">
        <w:rPr>
          <w:rFonts w:ascii="Times" w:hAnsi="Times"/>
        </w:rPr>
        <w:t>held that</w:t>
      </w:r>
      <w:r w:rsidR="002E2C43" w:rsidRPr="000A28A0">
        <w:rPr>
          <w:rFonts w:ascii="Times" w:hAnsi="Times"/>
        </w:rPr>
        <w:t>:</w:t>
      </w:r>
    </w:p>
    <w:p w14:paraId="0D439FE9" w14:textId="77777777" w:rsidR="00E979DD" w:rsidRPr="00E979DD" w:rsidRDefault="00E979DD" w:rsidP="00335BBC">
      <w:pPr>
        <w:pStyle w:val="ListParagraph"/>
        <w:spacing w:line="360" w:lineRule="auto"/>
        <w:rPr>
          <w:rFonts w:ascii="Times" w:hAnsi="Times"/>
        </w:rPr>
      </w:pPr>
    </w:p>
    <w:p w14:paraId="06FF736C" w14:textId="387FE4E8" w:rsidR="00E979DD" w:rsidRDefault="00E979DD" w:rsidP="00335BBC">
      <w:pPr>
        <w:spacing w:line="360" w:lineRule="auto"/>
        <w:ind w:left="720"/>
        <w:jc w:val="both"/>
        <w:rPr>
          <w:rFonts w:ascii="Times" w:hAnsi="Times"/>
          <w:i/>
          <w:iCs/>
        </w:rPr>
      </w:pPr>
      <w:r w:rsidRPr="00EB7902">
        <w:rPr>
          <w:rFonts w:ascii="Times" w:hAnsi="Times"/>
          <w:i/>
          <w:iCs/>
        </w:rPr>
        <w:t>‘The application of the presumption does not depend on ther</w:t>
      </w:r>
      <w:r w:rsidR="0029136B" w:rsidRPr="00EB7902">
        <w:rPr>
          <w:rFonts w:ascii="Times" w:hAnsi="Times"/>
          <w:i/>
          <w:iCs/>
        </w:rPr>
        <w:t xml:space="preserve">e </w:t>
      </w:r>
      <w:r w:rsidRPr="00EB7902">
        <w:rPr>
          <w:rFonts w:ascii="Times" w:hAnsi="Times"/>
          <w:i/>
          <w:iCs/>
        </w:rPr>
        <w:t>being a logical or rational connection between the presumed fact and the basic facts proved, nor can it be claimed that in all cases covered by the presumption, the presumed fact is something which is more likely than not to arise from the basic facts proved.’</w:t>
      </w:r>
    </w:p>
    <w:p w14:paraId="7E079EBF" w14:textId="77777777" w:rsidR="0046334C" w:rsidRDefault="0046334C" w:rsidP="00335BBC">
      <w:pPr>
        <w:spacing w:line="360" w:lineRule="auto"/>
        <w:ind w:left="720"/>
        <w:jc w:val="both"/>
        <w:rPr>
          <w:rFonts w:ascii="Times" w:hAnsi="Times"/>
          <w:i/>
          <w:iCs/>
        </w:rPr>
      </w:pPr>
    </w:p>
    <w:p w14:paraId="243EA6DE" w14:textId="1D7D5D11" w:rsidR="00C11A29" w:rsidRDefault="004C19B0"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lastRenderedPageBreak/>
        <w:t xml:space="preserve">The </w:t>
      </w:r>
      <w:r w:rsidRPr="00A71595">
        <w:rPr>
          <w:rFonts w:ascii="Times" w:hAnsi="Times" w:cs="Open Sans"/>
          <w:color w:val="000000" w:themeColor="text1"/>
        </w:rPr>
        <w:t xml:space="preserve">US </w:t>
      </w:r>
      <w:r>
        <w:rPr>
          <w:rFonts w:ascii="Times" w:hAnsi="Times" w:cs="Open Sans"/>
          <w:color w:val="000000" w:themeColor="text1"/>
        </w:rPr>
        <w:t>Supreme Court has held that the due process clause in the US Constitution imposes limits on the power of Congress to ‘</w:t>
      </w:r>
      <w:r w:rsidRPr="005D2B7A">
        <w:rPr>
          <w:rFonts w:ascii="Times" w:hAnsi="Times" w:cs="Open Sans"/>
          <w:i/>
          <w:iCs/>
          <w:color w:val="000000" w:themeColor="text1"/>
        </w:rPr>
        <w:t xml:space="preserve">make the proof of one fact </w:t>
      </w:r>
      <w:r>
        <w:rPr>
          <w:rFonts w:ascii="Times" w:hAnsi="Times" w:cs="Open Sans"/>
          <w:i/>
          <w:iCs/>
          <w:color w:val="000000" w:themeColor="text1"/>
        </w:rPr>
        <w:t>or</w:t>
      </w:r>
      <w:r w:rsidRPr="005D2B7A">
        <w:rPr>
          <w:rFonts w:ascii="Times" w:hAnsi="Times" w:cs="Open Sans"/>
          <w:i/>
          <w:iCs/>
          <w:color w:val="000000" w:themeColor="text1"/>
        </w:rPr>
        <w:t xml:space="preserve"> group of facts evidence of the existence of the ultimate fact on which guilt is predicated’</w:t>
      </w:r>
      <w:r>
        <w:rPr>
          <w:rFonts w:ascii="Times" w:hAnsi="Times" w:cs="Open Sans"/>
          <w:color w:val="000000" w:themeColor="text1"/>
        </w:rPr>
        <w:t>.</w:t>
      </w:r>
      <w:r w:rsidR="000E26EE">
        <w:rPr>
          <w:rStyle w:val="FootnoteReference"/>
          <w:rFonts w:ascii="Times" w:hAnsi="Times" w:cs="Open Sans"/>
          <w:color w:val="000000" w:themeColor="text1"/>
        </w:rPr>
        <w:footnoteReference w:id="58"/>
      </w:r>
      <w:r>
        <w:rPr>
          <w:rFonts w:ascii="Times" w:hAnsi="Times" w:cs="Open Sans"/>
          <w:color w:val="000000" w:themeColor="text1"/>
        </w:rPr>
        <w:t xml:space="preserve"> </w:t>
      </w:r>
    </w:p>
    <w:p w14:paraId="607AD275" w14:textId="77777777" w:rsidR="00C11A29" w:rsidRDefault="00C11A29" w:rsidP="00335BBC">
      <w:pPr>
        <w:pStyle w:val="ListParagraph"/>
        <w:shd w:val="clear" w:color="auto" w:fill="FFFFFF"/>
        <w:spacing w:after="240" w:line="360" w:lineRule="auto"/>
        <w:ind w:left="360"/>
        <w:jc w:val="both"/>
        <w:rPr>
          <w:rFonts w:ascii="Times" w:hAnsi="Times" w:cs="Open Sans"/>
          <w:color w:val="000000" w:themeColor="text1"/>
        </w:rPr>
      </w:pPr>
    </w:p>
    <w:p w14:paraId="57DEFFD6" w14:textId="37C12051" w:rsidR="004C19B0" w:rsidRPr="00E90E03" w:rsidRDefault="000E26EE"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T</w:t>
      </w:r>
      <w:r w:rsidR="004C19B0">
        <w:rPr>
          <w:rFonts w:ascii="Times" w:hAnsi="Times" w:cs="Open Sans"/>
          <w:color w:val="000000" w:themeColor="text1"/>
        </w:rPr>
        <w:t xml:space="preserve">he U.S. Supreme Court, in </w:t>
      </w:r>
      <w:r w:rsidR="004C19B0" w:rsidRPr="00464E09">
        <w:rPr>
          <w:rFonts w:ascii="Times" w:hAnsi="Times" w:cs="Open Sans"/>
          <w:i/>
          <w:iCs/>
          <w:color w:val="000000" w:themeColor="text1"/>
        </w:rPr>
        <w:t>County Court of Ulster County v Allen</w:t>
      </w:r>
      <w:r w:rsidR="004412EB">
        <w:rPr>
          <w:rStyle w:val="FootnoteReference"/>
          <w:rFonts w:ascii="Times" w:hAnsi="Times" w:cs="Open Sans"/>
          <w:i/>
          <w:iCs/>
          <w:color w:val="000000" w:themeColor="text1"/>
        </w:rPr>
        <w:footnoteReference w:id="59"/>
      </w:r>
      <w:r w:rsidR="004C19B0" w:rsidRPr="000C6758">
        <w:rPr>
          <w:rFonts w:ascii="Times" w:hAnsi="Times" w:cs="Open Sans"/>
          <w:color w:val="000000" w:themeColor="text1"/>
        </w:rPr>
        <w:t xml:space="preserve">, distinguished between the approach appropriate to </w:t>
      </w:r>
      <w:r w:rsidR="004C19B0">
        <w:rPr>
          <w:rFonts w:ascii="Times" w:hAnsi="Times" w:cs="Open Sans"/>
          <w:color w:val="000000" w:themeColor="text1"/>
        </w:rPr>
        <w:t xml:space="preserve">a </w:t>
      </w:r>
      <w:r w:rsidR="004C19B0" w:rsidRPr="000C6758">
        <w:rPr>
          <w:rFonts w:ascii="Times" w:hAnsi="Times" w:cs="Open Sans"/>
          <w:color w:val="000000" w:themeColor="text1"/>
        </w:rPr>
        <w:t xml:space="preserve">permissive presumption on the one hand </w:t>
      </w:r>
      <w:r w:rsidR="004C19B0">
        <w:rPr>
          <w:rFonts w:ascii="Times" w:hAnsi="Times" w:cs="Open Sans"/>
          <w:color w:val="000000" w:themeColor="text1"/>
        </w:rPr>
        <w:t>and a m</w:t>
      </w:r>
      <w:r w:rsidR="004C19B0" w:rsidRPr="000C6758">
        <w:rPr>
          <w:rFonts w:ascii="Times" w:hAnsi="Times" w:cs="Open Sans"/>
          <w:color w:val="000000" w:themeColor="text1"/>
        </w:rPr>
        <w:t>anda</w:t>
      </w:r>
      <w:r w:rsidR="004C19B0">
        <w:rPr>
          <w:rFonts w:ascii="Times" w:hAnsi="Times" w:cs="Open Sans"/>
          <w:color w:val="000000" w:themeColor="text1"/>
        </w:rPr>
        <w:t>t</w:t>
      </w:r>
      <w:r w:rsidR="004C19B0" w:rsidRPr="000C6758">
        <w:rPr>
          <w:rFonts w:ascii="Times" w:hAnsi="Times" w:cs="Open Sans"/>
          <w:color w:val="000000" w:themeColor="text1"/>
        </w:rPr>
        <w:t xml:space="preserve">ory presumption on the other. </w:t>
      </w:r>
      <w:r w:rsidR="004C19B0">
        <w:rPr>
          <w:rFonts w:ascii="Times" w:hAnsi="Times" w:cs="Open Sans"/>
          <w:color w:val="000000" w:themeColor="text1"/>
        </w:rPr>
        <w:t xml:space="preserve">A </w:t>
      </w:r>
      <w:r w:rsidR="004C19B0" w:rsidRPr="007F099D">
        <w:rPr>
          <w:rFonts w:ascii="Times" w:hAnsi="Times" w:cs="Open Sans"/>
          <w:i/>
          <w:iCs/>
          <w:color w:val="000000" w:themeColor="text1"/>
        </w:rPr>
        <w:t>‘more likely than not standard’</w:t>
      </w:r>
      <w:r w:rsidR="004C19B0" w:rsidRPr="000C6758">
        <w:rPr>
          <w:rFonts w:ascii="Times" w:hAnsi="Times" w:cs="Open Sans"/>
          <w:color w:val="000000" w:themeColor="text1"/>
        </w:rPr>
        <w:t xml:space="preserve"> was </w:t>
      </w:r>
      <w:r w:rsidR="004C19B0">
        <w:rPr>
          <w:rFonts w:ascii="Times" w:hAnsi="Times" w:cs="Open Sans"/>
          <w:color w:val="000000" w:themeColor="text1"/>
        </w:rPr>
        <w:t>appropriate where</w:t>
      </w:r>
      <w:r w:rsidR="004C19B0" w:rsidRPr="000C6758">
        <w:rPr>
          <w:rFonts w:ascii="Times" w:hAnsi="Times" w:cs="Open Sans"/>
          <w:color w:val="000000" w:themeColor="text1"/>
        </w:rPr>
        <w:t xml:space="preserve"> the presumption was permissive</w:t>
      </w:r>
      <w:r w:rsidR="004C19B0">
        <w:rPr>
          <w:rFonts w:ascii="Times" w:hAnsi="Times" w:cs="Open Sans"/>
          <w:color w:val="000000" w:themeColor="text1"/>
        </w:rPr>
        <w:t xml:space="preserve"> only;</w:t>
      </w:r>
      <w:r w:rsidR="004C19B0" w:rsidRPr="000C6758">
        <w:rPr>
          <w:rFonts w:ascii="Times" w:hAnsi="Times" w:cs="Open Sans"/>
          <w:color w:val="000000" w:themeColor="text1"/>
        </w:rPr>
        <w:t xml:space="preserve"> but a mandatory presumption </w:t>
      </w:r>
      <w:r w:rsidR="004C19B0">
        <w:rPr>
          <w:rFonts w:ascii="Times" w:hAnsi="Times" w:cs="Open Sans"/>
          <w:color w:val="000000" w:themeColor="text1"/>
        </w:rPr>
        <w:t>(one which created either an evidential or a legal burden</w:t>
      </w:r>
      <w:r w:rsidR="000A28A0">
        <w:rPr>
          <w:rFonts w:ascii="Times" w:hAnsi="Times" w:cs="Open Sans"/>
          <w:color w:val="000000" w:themeColor="text1"/>
        </w:rPr>
        <w:t xml:space="preserve"> to disprove the presumption</w:t>
      </w:r>
      <w:r w:rsidR="004C19B0">
        <w:rPr>
          <w:rFonts w:ascii="Times" w:hAnsi="Times" w:cs="Open Sans"/>
          <w:color w:val="000000" w:themeColor="text1"/>
        </w:rPr>
        <w:t xml:space="preserve">) </w:t>
      </w:r>
      <w:r w:rsidR="004C19B0" w:rsidRPr="000C6758">
        <w:rPr>
          <w:rFonts w:ascii="Times" w:hAnsi="Times" w:cs="Open Sans"/>
          <w:color w:val="000000" w:themeColor="text1"/>
        </w:rPr>
        <w:t xml:space="preserve">was </w:t>
      </w:r>
      <w:r w:rsidR="004C19B0">
        <w:rPr>
          <w:rFonts w:ascii="Times" w:hAnsi="Times" w:cs="Open Sans"/>
          <w:color w:val="000000" w:themeColor="text1"/>
        </w:rPr>
        <w:t xml:space="preserve">deemed to be </w:t>
      </w:r>
      <w:r w:rsidR="004C19B0" w:rsidRPr="007F099D">
        <w:rPr>
          <w:rFonts w:ascii="Times" w:hAnsi="Times" w:cs="Open Sans"/>
          <w:i/>
          <w:iCs/>
          <w:color w:val="000000" w:themeColor="text1"/>
        </w:rPr>
        <w:t xml:space="preserve">‘a far more troublesome evidentiary device’. </w:t>
      </w:r>
      <w:r w:rsidR="000A28A0">
        <w:rPr>
          <w:rFonts w:ascii="Times" w:hAnsi="Times" w:cs="Open Sans"/>
          <w:color w:val="000000" w:themeColor="text1"/>
        </w:rPr>
        <w:t>T</w:t>
      </w:r>
      <w:r w:rsidR="004C19B0" w:rsidRPr="000C6758">
        <w:rPr>
          <w:rFonts w:ascii="Times" w:hAnsi="Times" w:cs="Open Sans"/>
          <w:color w:val="000000" w:themeColor="text1"/>
        </w:rPr>
        <w:t xml:space="preserve">he </w:t>
      </w:r>
      <w:r w:rsidR="000A28A0">
        <w:rPr>
          <w:rFonts w:ascii="Times" w:hAnsi="Times" w:cs="Open Sans"/>
          <w:color w:val="000000" w:themeColor="text1"/>
        </w:rPr>
        <w:t xml:space="preserve">Court held that such a </w:t>
      </w:r>
      <w:r w:rsidR="004C19B0" w:rsidRPr="00464E09">
        <w:rPr>
          <w:rFonts w:ascii="Times" w:hAnsi="Times" w:cs="Open Sans"/>
          <w:i/>
          <w:iCs/>
          <w:color w:val="000000" w:themeColor="text1"/>
        </w:rPr>
        <w:t>‘presumption must be rejected unless the evidence necessary to invoke the inference is sufficient for a rational jury to find the inferred fact beyond a reasonable doubt</w:t>
      </w:r>
      <w:r w:rsidR="004C19B0">
        <w:rPr>
          <w:rFonts w:ascii="Times" w:hAnsi="Times" w:cs="Open Sans"/>
          <w:i/>
          <w:iCs/>
          <w:color w:val="000000" w:themeColor="text1"/>
        </w:rPr>
        <w:t>.’</w:t>
      </w:r>
      <w:r w:rsidR="004412EB">
        <w:rPr>
          <w:rStyle w:val="FootnoteReference"/>
          <w:rFonts w:ascii="Times" w:hAnsi="Times" w:cs="Open Sans"/>
          <w:i/>
          <w:iCs/>
          <w:color w:val="000000" w:themeColor="text1"/>
        </w:rPr>
        <w:footnoteReference w:id="60"/>
      </w:r>
    </w:p>
    <w:p w14:paraId="2109A9EF" w14:textId="77777777" w:rsidR="004C19B0" w:rsidRPr="00E90E03" w:rsidRDefault="004C19B0" w:rsidP="00335BBC">
      <w:pPr>
        <w:pStyle w:val="ListParagraph"/>
        <w:shd w:val="clear" w:color="auto" w:fill="FFFFFF"/>
        <w:spacing w:after="240" w:line="360" w:lineRule="auto"/>
        <w:ind w:left="360"/>
        <w:jc w:val="both"/>
        <w:rPr>
          <w:rFonts w:ascii="Times" w:hAnsi="Times" w:cs="Open Sans"/>
          <w:color w:val="000000" w:themeColor="text1"/>
        </w:rPr>
      </w:pPr>
    </w:p>
    <w:p w14:paraId="0AC8EC9A" w14:textId="0AED3DAD" w:rsidR="004C19B0" w:rsidRPr="00464E09" w:rsidRDefault="004C19B0" w:rsidP="00335BBC">
      <w:pPr>
        <w:pStyle w:val="ListParagraph"/>
        <w:numPr>
          <w:ilvl w:val="0"/>
          <w:numId w:val="2"/>
        </w:numPr>
        <w:shd w:val="clear" w:color="auto" w:fill="FFFFFF"/>
        <w:spacing w:line="360" w:lineRule="auto"/>
        <w:jc w:val="both"/>
        <w:rPr>
          <w:rFonts w:ascii="Times" w:hAnsi="Times" w:cs="Open Sans"/>
          <w:color w:val="000000" w:themeColor="text1"/>
        </w:rPr>
      </w:pPr>
      <w:r>
        <w:rPr>
          <w:rFonts w:ascii="Times" w:hAnsi="Times" w:cs="Open Sans"/>
          <w:color w:val="000000" w:themeColor="text1"/>
        </w:rPr>
        <w:t xml:space="preserve">A similar approach was taken in the Canadian Supreme Court case of </w:t>
      </w:r>
      <w:r w:rsidRPr="00B956F7">
        <w:rPr>
          <w:rFonts w:ascii="Times" w:hAnsi="Times" w:cs="Open Sans"/>
          <w:i/>
          <w:iCs/>
          <w:color w:val="000000" w:themeColor="text1"/>
        </w:rPr>
        <w:t>R v Morrison</w:t>
      </w:r>
      <w:r w:rsidR="00C307BD">
        <w:rPr>
          <w:rStyle w:val="FootnoteReference"/>
          <w:rFonts w:ascii="Times" w:hAnsi="Times" w:cs="Open Sans"/>
          <w:i/>
          <w:iCs/>
          <w:color w:val="000000" w:themeColor="text1"/>
        </w:rPr>
        <w:footnoteReference w:id="61"/>
      </w:r>
      <w:r>
        <w:rPr>
          <w:rFonts w:ascii="Times" w:hAnsi="Times" w:cs="Open Sans"/>
          <w:color w:val="000000" w:themeColor="text1"/>
        </w:rPr>
        <w:t xml:space="preserve">, in respect of an offence of child ‘luring’. The facts related to an on-line encounter between the accused and an undercover police officer who was posing as a young girl. The issue of fact was whether the accused genuinely believed the police office was underage, or whether he believed the person he was communicating with was an adult who was ‘role-playing’. The section at issue created </w:t>
      </w:r>
      <w:r w:rsidRPr="002220A4">
        <w:rPr>
          <w:rFonts w:ascii="Times" w:hAnsi="Times"/>
        </w:rPr>
        <w:t>a presumption that proof that the other person was represented to the accused as being under 16 w</w:t>
      </w:r>
      <w:r>
        <w:rPr>
          <w:rFonts w:ascii="Times" w:hAnsi="Times"/>
        </w:rPr>
        <w:t>ould</w:t>
      </w:r>
      <w:r w:rsidRPr="002220A4">
        <w:rPr>
          <w:rFonts w:ascii="Times" w:hAnsi="Times"/>
        </w:rPr>
        <w:t xml:space="preserve">, absent evidence to the contrary, stand in for proof of the essential element that the accused believed the other person was under 16. </w:t>
      </w:r>
    </w:p>
    <w:p w14:paraId="59297AF4" w14:textId="77777777" w:rsidR="004C19B0" w:rsidRPr="00464E09" w:rsidRDefault="004C19B0" w:rsidP="00335BBC">
      <w:pPr>
        <w:spacing w:line="360" w:lineRule="auto"/>
        <w:rPr>
          <w:rFonts w:ascii="Times" w:hAnsi="Times"/>
        </w:rPr>
      </w:pPr>
    </w:p>
    <w:p w14:paraId="275EC686" w14:textId="77777777" w:rsidR="004C19B0" w:rsidRPr="00B956F7" w:rsidRDefault="004C19B0" w:rsidP="00335BBC">
      <w:pPr>
        <w:pStyle w:val="ListParagraph"/>
        <w:numPr>
          <w:ilvl w:val="0"/>
          <w:numId w:val="2"/>
        </w:numPr>
        <w:shd w:val="clear" w:color="auto" w:fill="FFFFFF"/>
        <w:spacing w:line="360" w:lineRule="auto"/>
        <w:rPr>
          <w:rFonts w:ascii="Times" w:hAnsi="Times" w:cs="Open Sans"/>
          <w:color w:val="000000" w:themeColor="text1"/>
        </w:rPr>
      </w:pPr>
      <w:r>
        <w:rPr>
          <w:rFonts w:ascii="Times" w:hAnsi="Times"/>
        </w:rPr>
        <w:t>The Canadian Supreme Court said:</w:t>
      </w:r>
    </w:p>
    <w:p w14:paraId="79F2BB06" w14:textId="77777777" w:rsidR="004C19B0" w:rsidRPr="00B956F7" w:rsidRDefault="004C19B0" w:rsidP="00335BBC">
      <w:pPr>
        <w:pStyle w:val="ListParagraph"/>
        <w:spacing w:line="360" w:lineRule="auto"/>
        <w:rPr>
          <w:rFonts w:ascii="Times" w:hAnsi="Times"/>
        </w:rPr>
      </w:pPr>
    </w:p>
    <w:p w14:paraId="6FFDC5CB" w14:textId="5FC81288" w:rsidR="004C19B0" w:rsidRDefault="004C19B0" w:rsidP="00335BBC">
      <w:pPr>
        <w:pStyle w:val="ListParagraph"/>
        <w:shd w:val="clear" w:color="auto" w:fill="FFFFFF"/>
        <w:spacing w:line="360" w:lineRule="auto"/>
        <w:jc w:val="both"/>
        <w:rPr>
          <w:rFonts w:ascii="Times" w:hAnsi="Times"/>
          <w:i/>
          <w:iCs/>
        </w:rPr>
      </w:pPr>
      <w:r>
        <w:rPr>
          <w:rFonts w:ascii="Times" w:hAnsi="Times"/>
          <w:i/>
          <w:iCs/>
        </w:rPr>
        <w:t>‘</w:t>
      </w:r>
      <w:r w:rsidRPr="00B956F7">
        <w:rPr>
          <w:rFonts w:ascii="Times" w:hAnsi="Times"/>
          <w:i/>
          <w:iCs/>
        </w:rPr>
        <w:t xml:space="preserve">The nexus requirement for demonstrating that a statutory presumption does not offend the presumption of innocence is strict: the connection between proof of the substituted fact and the existence of the essential element it replaces must be nothing less than inexorable. An inexorable link is one that necessarily holds true in all cases. Here, the mere fact that a representation of age was made to the accused does not lead inexorably </w:t>
      </w:r>
      <w:r w:rsidRPr="00B956F7">
        <w:rPr>
          <w:rFonts w:ascii="Times" w:hAnsi="Times"/>
          <w:i/>
          <w:iCs/>
        </w:rPr>
        <w:lastRenderedPageBreak/>
        <w:t>to the conclusion that the accused believed that representation, even absent evidence to the contrary</w:t>
      </w:r>
      <w:r>
        <w:rPr>
          <w:rFonts w:ascii="Times" w:hAnsi="Times"/>
          <w:i/>
          <w:iCs/>
        </w:rPr>
        <w:t>…</w:t>
      </w:r>
      <w:r w:rsidRPr="00B956F7">
        <w:rPr>
          <w:rFonts w:ascii="Times" w:hAnsi="Times"/>
          <w:i/>
          <w:iCs/>
        </w:rPr>
        <w:t xml:space="preserve"> This contravenes the presumption of innocence.</w:t>
      </w:r>
      <w:r>
        <w:rPr>
          <w:rFonts w:ascii="Times" w:hAnsi="Times"/>
          <w:i/>
          <w:iCs/>
        </w:rPr>
        <w:t>’</w:t>
      </w:r>
    </w:p>
    <w:p w14:paraId="197BDC2D" w14:textId="3FBA6BFC" w:rsidR="00427B81" w:rsidRDefault="00427B81" w:rsidP="00335BBC">
      <w:pPr>
        <w:pStyle w:val="ListParagraph"/>
        <w:shd w:val="clear" w:color="auto" w:fill="FFFFFF"/>
        <w:spacing w:line="360" w:lineRule="auto"/>
        <w:jc w:val="both"/>
        <w:rPr>
          <w:rFonts w:ascii="Times" w:hAnsi="Times"/>
          <w:i/>
          <w:iCs/>
        </w:rPr>
      </w:pPr>
    </w:p>
    <w:p w14:paraId="6DCD80E1" w14:textId="221179C0" w:rsidR="00427B81" w:rsidRDefault="00427B81" w:rsidP="00335BBC">
      <w:pPr>
        <w:pStyle w:val="ListParagraph"/>
        <w:numPr>
          <w:ilvl w:val="0"/>
          <w:numId w:val="2"/>
        </w:numPr>
        <w:shd w:val="clear" w:color="auto" w:fill="FFFFFF"/>
        <w:spacing w:line="360" w:lineRule="auto"/>
        <w:jc w:val="both"/>
        <w:rPr>
          <w:rFonts w:ascii="Times" w:hAnsi="Times"/>
          <w:i/>
          <w:iCs/>
        </w:rPr>
      </w:pPr>
      <w:r>
        <w:rPr>
          <w:rFonts w:ascii="Times" w:hAnsi="Times"/>
        </w:rPr>
        <w:t>The Commission would respectfully adopt as correct, the principle that a presumption which entails the transfer of the legal burden will not be proportionate if the facts which ground the application of th</w:t>
      </w:r>
      <w:r w:rsidR="005B0128">
        <w:rPr>
          <w:rFonts w:ascii="Times" w:hAnsi="Times"/>
        </w:rPr>
        <w:t>e</w:t>
      </w:r>
      <w:r>
        <w:rPr>
          <w:rFonts w:ascii="Times" w:hAnsi="Times"/>
        </w:rPr>
        <w:t xml:space="preserve"> presumption are not </w:t>
      </w:r>
      <w:r w:rsidR="005B0128">
        <w:rPr>
          <w:rFonts w:ascii="Times" w:hAnsi="Times"/>
        </w:rPr>
        <w:t xml:space="preserve">of </w:t>
      </w:r>
      <w:r>
        <w:rPr>
          <w:rFonts w:ascii="Times" w:hAnsi="Times"/>
        </w:rPr>
        <w:t xml:space="preserve">themselves sufficient to </w:t>
      </w:r>
      <w:r w:rsidR="005B0128">
        <w:rPr>
          <w:rFonts w:ascii="Times" w:hAnsi="Times"/>
        </w:rPr>
        <w:t>amount to</w:t>
      </w:r>
      <w:r>
        <w:rPr>
          <w:rFonts w:ascii="Times" w:hAnsi="Times"/>
        </w:rPr>
        <w:t xml:space="preserve"> proof beyond reasonable doubt.  </w:t>
      </w:r>
    </w:p>
    <w:p w14:paraId="33BFEBE3" w14:textId="14B851A7" w:rsidR="004C19B0" w:rsidRDefault="004C19B0" w:rsidP="00335BBC">
      <w:pPr>
        <w:shd w:val="clear" w:color="auto" w:fill="FFFFFF"/>
        <w:spacing w:line="360" w:lineRule="auto"/>
        <w:jc w:val="both"/>
        <w:rPr>
          <w:rFonts w:ascii="Times" w:hAnsi="Times" w:cs="Open Sans"/>
          <w:color w:val="000000" w:themeColor="text1"/>
        </w:rPr>
      </w:pPr>
    </w:p>
    <w:p w14:paraId="7E213FF1" w14:textId="5489DA0A" w:rsidR="00116628" w:rsidRDefault="00116628" w:rsidP="00E3746D">
      <w:pPr>
        <w:pStyle w:val="Heading1"/>
      </w:pPr>
      <w:bookmarkStart w:id="13" w:name="_Toc128532599"/>
      <w:r w:rsidRPr="00116628">
        <w:t>Application of these principles to S.3(5) of the 2006</w:t>
      </w:r>
      <w:r w:rsidR="005B0128">
        <w:t xml:space="preserve"> Act</w:t>
      </w:r>
      <w:bookmarkEnd w:id="13"/>
      <w:r w:rsidRPr="00116628">
        <w:t xml:space="preserve"> </w:t>
      </w:r>
    </w:p>
    <w:p w14:paraId="266D9C6C" w14:textId="77777777" w:rsidR="00116628" w:rsidRPr="00116628" w:rsidRDefault="00116628" w:rsidP="00335BBC">
      <w:pPr>
        <w:shd w:val="clear" w:color="auto" w:fill="FFFFFF"/>
        <w:spacing w:line="360" w:lineRule="auto"/>
        <w:ind w:left="360"/>
        <w:jc w:val="both"/>
        <w:rPr>
          <w:rFonts w:ascii="Times" w:hAnsi="Times" w:cs="Open Sans"/>
          <w:b/>
          <w:bCs/>
          <w:color w:val="000000" w:themeColor="text1"/>
        </w:rPr>
      </w:pPr>
    </w:p>
    <w:p w14:paraId="12D770DE" w14:textId="638E62C7" w:rsidR="00536B7D" w:rsidRPr="00536B7D" w:rsidRDefault="004C19B0" w:rsidP="00335BBC">
      <w:pPr>
        <w:pStyle w:val="ListParagraph"/>
        <w:numPr>
          <w:ilvl w:val="0"/>
          <w:numId w:val="2"/>
        </w:numPr>
        <w:spacing w:line="360" w:lineRule="auto"/>
        <w:jc w:val="both"/>
        <w:rPr>
          <w:rFonts w:ascii="Times" w:hAnsi="Times"/>
          <w:i/>
          <w:iCs/>
        </w:rPr>
      </w:pPr>
      <w:r w:rsidRPr="00214C76">
        <w:rPr>
          <w:rFonts w:ascii="Times" w:hAnsi="Times"/>
        </w:rPr>
        <w:t>In th</w:t>
      </w:r>
      <w:r>
        <w:rPr>
          <w:rFonts w:ascii="Times" w:hAnsi="Times"/>
        </w:rPr>
        <w:t>e</w:t>
      </w:r>
      <w:r w:rsidRPr="00214C76">
        <w:rPr>
          <w:rFonts w:ascii="Times" w:hAnsi="Times"/>
        </w:rPr>
        <w:t xml:space="preserve"> </w:t>
      </w:r>
      <w:r>
        <w:rPr>
          <w:rFonts w:ascii="Times" w:hAnsi="Times"/>
        </w:rPr>
        <w:t xml:space="preserve">instant </w:t>
      </w:r>
      <w:r w:rsidRPr="00214C76">
        <w:rPr>
          <w:rFonts w:ascii="Times" w:hAnsi="Times"/>
        </w:rPr>
        <w:t>case, the presumed fact</w:t>
      </w:r>
      <w:r>
        <w:rPr>
          <w:rFonts w:ascii="Times" w:hAnsi="Times"/>
        </w:rPr>
        <w:t xml:space="preserve"> created by the statute</w:t>
      </w:r>
      <w:r w:rsidRPr="00214C76">
        <w:rPr>
          <w:rFonts w:ascii="Times" w:hAnsi="Times"/>
        </w:rPr>
        <w:t xml:space="preserve"> is that </w:t>
      </w:r>
      <w:r>
        <w:rPr>
          <w:rFonts w:ascii="Times" w:hAnsi="Times"/>
        </w:rPr>
        <w:t>an accused</w:t>
      </w:r>
      <w:r w:rsidRPr="00214C76">
        <w:rPr>
          <w:rFonts w:ascii="Times" w:hAnsi="Times"/>
        </w:rPr>
        <w:t xml:space="preserve"> who ha</w:t>
      </w:r>
      <w:r w:rsidR="00427B81">
        <w:rPr>
          <w:rFonts w:ascii="Times" w:hAnsi="Times"/>
        </w:rPr>
        <w:t>s</w:t>
      </w:r>
      <w:r w:rsidRPr="00214C76">
        <w:rPr>
          <w:rFonts w:ascii="Times" w:hAnsi="Times"/>
        </w:rPr>
        <w:t xml:space="preserve"> sex w</w:t>
      </w:r>
      <w:r>
        <w:rPr>
          <w:rFonts w:ascii="Times" w:hAnsi="Times"/>
        </w:rPr>
        <w:t xml:space="preserve">ith </w:t>
      </w:r>
      <w:r w:rsidR="00116628">
        <w:rPr>
          <w:rFonts w:ascii="Times" w:hAnsi="Times"/>
        </w:rPr>
        <w:t>a child</w:t>
      </w:r>
      <w:r w:rsidRPr="00214C76">
        <w:rPr>
          <w:rFonts w:ascii="Times" w:hAnsi="Times"/>
        </w:rPr>
        <w:t xml:space="preserve"> under </w:t>
      </w:r>
      <w:r w:rsidR="00116628">
        <w:rPr>
          <w:rFonts w:ascii="Times" w:hAnsi="Times"/>
        </w:rPr>
        <w:t xml:space="preserve">the age </w:t>
      </w:r>
      <w:r w:rsidRPr="00214C76">
        <w:rPr>
          <w:rFonts w:ascii="Times" w:hAnsi="Times"/>
        </w:rPr>
        <w:t xml:space="preserve">17 </w:t>
      </w:r>
      <w:r w:rsidR="00427B81">
        <w:rPr>
          <w:rFonts w:ascii="Times" w:hAnsi="Times"/>
        </w:rPr>
        <w:t>wa</w:t>
      </w:r>
      <w:r w:rsidRPr="00214C76">
        <w:rPr>
          <w:rFonts w:ascii="Times" w:hAnsi="Times"/>
        </w:rPr>
        <w:t>s not mistaken about their age. Unlike other contexts in which a presumption</w:t>
      </w:r>
      <w:r w:rsidR="00116628">
        <w:rPr>
          <w:rFonts w:ascii="Times" w:hAnsi="Times"/>
        </w:rPr>
        <w:t>s</w:t>
      </w:r>
      <w:r w:rsidRPr="00214C76">
        <w:rPr>
          <w:rFonts w:ascii="Times" w:hAnsi="Times"/>
        </w:rPr>
        <w:t xml:space="preserve"> </w:t>
      </w:r>
      <w:r w:rsidR="00536B7D">
        <w:rPr>
          <w:rFonts w:ascii="Times" w:hAnsi="Times"/>
        </w:rPr>
        <w:t>exist in Irish criminal law</w:t>
      </w:r>
      <w:r w:rsidRPr="00214C76">
        <w:rPr>
          <w:rFonts w:ascii="Times" w:hAnsi="Times"/>
        </w:rPr>
        <w:t xml:space="preserve">, </w:t>
      </w:r>
      <w:r>
        <w:rPr>
          <w:rFonts w:ascii="Times" w:hAnsi="Times"/>
        </w:rPr>
        <w:t xml:space="preserve">such as the </w:t>
      </w:r>
      <w:r w:rsidR="00536B7D">
        <w:rPr>
          <w:rFonts w:ascii="Times" w:hAnsi="Times"/>
        </w:rPr>
        <w:t xml:space="preserve">presumption of sanity or the presumption that </w:t>
      </w:r>
      <w:r w:rsidR="00116628">
        <w:rPr>
          <w:rFonts w:ascii="Times" w:hAnsi="Times"/>
        </w:rPr>
        <w:t>an</w:t>
      </w:r>
      <w:r w:rsidR="00536B7D">
        <w:rPr>
          <w:rFonts w:ascii="Times" w:hAnsi="Times"/>
        </w:rPr>
        <w:t xml:space="preserve"> accused intended the natural and probable consequences of their actions, </w:t>
      </w:r>
      <w:r w:rsidRPr="00214C76">
        <w:rPr>
          <w:rFonts w:ascii="Times" w:hAnsi="Times"/>
        </w:rPr>
        <w:t xml:space="preserve">it is questionable </w:t>
      </w:r>
      <w:r w:rsidR="00CC5B2D">
        <w:rPr>
          <w:rFonts w:ascii="Times" w:hAnsi="Times"/>
        </w:rPr>
        <w:t>whether</w:t>
      </w:r>
      <w:r w:rsidRPr="00214C76">
        <w:rPr>
          <w:rFonts w:ascii="Times" w:hAnsi="Times"/>
        </w:rPr>
        <w:t xml:space="preserve"> this presumption matches well with reality. Just because a person has sex with someone under the age of 17, it is not </w:t>
      </w:r>
      <w:r w:rsidR="00536B7D">
        <w:rPr>
          <w:rFonts w:ascii="Times" w:hAnsi="Times"/>
        </w:rPr>
        <w:t>overwhelmingly</w:t>
      </w:r>
      <w:r w:rsidRPr="00214C76">
        <w:rPr>
          <w:rFonts w:ascii="Times" w:hAnsi="Times"/>
        </w:rPr>
        <w:t xml:space="preserve"> likely from that fact alone that they </w:t>
      </w:r>
      <w:r w:rsidR="00116628">
        <w:rPr>
          <w:rFonts w:ascii="Times" w:hAnsi="Times"/>
        </w:rPr>
        <w:t>must</w:t>
      </w:r>
      <w:r w:rsidRPr="00214C76">
        <w:rPr>
          <w:rFonts w:ascii="Times" w:hAnsi="Times"/>
        </w:rPr>
        <w:t xml:space="preserve"> have known th</w:t>
      </w:r>
      <w:r w:rsidR="00116628">
        <w:rPr>
          <w:rFonts w:ascii="Times" w:hAnsi="Times"/>
        </w:rPr>
        <w:t>e child’s age,</w:t>
      </w:r>
      <w:r w:rsidR="00536B7D">
        <w:rPr>
          <w:rFonts w:ascii="Times" w:hAnsi="Times"/>
        </w:rPr>
        <w:t xml:space="preserve"> or</w:t>
      </w:r>
      <w:r w:rsidR="00116628">
        <w:rPr>
          <w:rFonts w:ascii="Times" w:hAnsi="Times"/>
        </w:rPr>
        <w:t xml:space="preserve"> </w:t>
      </w:r>
      <w:r w:rsidR="00536B7D">
        <w:rPr>
          <w:rFonts w:ascii="Times" w:hAnsi="Times"/>
        </w:rPr>
        <w:t xml:space="preserve">have been subjectively reckless </w:t>
      </w:r>
      <w:r w:rsidR="00116628">
        <w:rPr>
          <w:rFonts w:ascii="Times" w:hAnsi="Times"/>
        </w:rPr>
        <w:t>in respect of their age</w:t>
      </w:r>
      <w:r w:rsidRPr="00214C76">
        <w:rPr>
          <w:rFonts w:ascii="Times" w:hAnsi="Times"/>
        </w:rPr>
        <w:t xml:space="preserve">. </w:t>
      </w:r>
    </w:p>
    <w:p w14:paraId="445102F1" w14:textId="77777777" w:rsidR="0061116E" w:rsidRPr="007A6D1E" w:rsidRDefault="0061116E" w:rsidP="00335BBC">
      <w:pPr>
        <w:spacing w:line="360" w:lineRule="auto"/>
        <w:rPr>
          <w:rFonts w:ascii="Times" w:hAnsi="Times"/>
          <w:color w:val="000000" w:themeColor="text1"/>
        </w:rPr>
      </w:pPr>
    </w:p>
    <w:p w14:paraId="14E21AE3" w14:textId="52AAFD1E" w:rsidR="007A6D1E" w:rsidRDefault="0061116E" w:rsidP="00335BBC">
      <w:pPr>
        <w:pStyle w:val="ListParagraph"/>
        <w:numPr>
          <w:ilvl w:val="0"/>
          <w:numId w:val="2"/>
        </w:numPr>
        <w:spacing w:line="360" w:lineRule="auto"/>
        <w:jc w:val="both"/>
        <w:rPr>
          <w:rFonts w:ascii="Times" w:hAnsi="Times"/>
        </w:rPr>
      </w:pPr>
      <w:r w:rsidRPr="00214C76">
        <w:rPr>
          <w:rFonts w:ascii="Times" w:hAnsi="Times"/>
        </w:rPr>
        <w:t xml:space="preserve">There are clearly scenarios in which a person, most likely a young person, </w:t>
      </w:r>
      <w:r w:rsidR="00116628">
        <w:rPr>
          <w:rFonts w:ascii="Times" w:hAnsi="Times"/>
        </w:rPr>
        <w:t xml:space="preserve">might </w:t>
      </w:r>
      <w:r w:rsidR="007A6D1E">
        <w:rPr>
          <w:rFonts w:ascii="Times" w:hAnsi="Times"/>
        </w:rPr>
        <w:t xml:space="preserve">mistakenly </w:t>
      </w:r>
      <w:r w:rsidRPr="00214C76">
        <w:rPr>
          <w:rFonts w:ascii="Times" w:hAnsi="Times"/>
        </w:rPr>
        <w:t xml:space="preserve">believe </w:t>
      </w:r>
      <w:r>
        <w:rPr>
          <w:rFonts w:ascii="Times" w:hAnsi="Times"/>
        </w:rPr>
        <w:t>without any culpable recklessness</w:t>
      </w:r>
      <w:r w:rsidR="00427B81">
        <w:rPr>
          <w:rFonts w:ascii="Times" w:hAnsi="Times"/>
        </w:rPr>
        <w:t xml:space="preserve"> on their part,</w:t>
      </w:r>
      <w:r>
        <w:rPr>
          <w:rFonts w:ascii="Times" w:hAnsi="Times"/>
        </w:rPr>
        <w:t xml:space="preserve"> </w:t>
      </w:r>
      <w:r w:rsidRPr="00214C76">
        <w:rPr>
          <w:rFonts w:ascii="Times" w:hAnsi="Times"/>
        </w:rPr>
        <w:t xml:space="preserve">that their sexual partner </w:t>
      </w:r>
      <w:r w:rsidR="007A6D1E">
        <w:rPr>
          <w:rFonts w:ascii="Times" w:hAnsi="Times"/>
        </w:rPr>
        <w:t>i</w:t>
      </w:r>
      <w:r w:rsidRPr="00214C76">
        <w:rPr>
          <w:rFonts w:ascii="Times" w:hAnsi="Times"/>
        </w:rPr>
        <w:t>s over the age of 17. It is respectfully submitted</w:t>
      </w:r>
      <w:r w:rsidR="00116628">
        <w:rPr>
          <w:rFonts w:ascii="Times" w:hAnsi="Times"/>
        </w:rPr>
        <w:t xml:space="preserve"> </w:t>
      </w:r>
      <w:r w:rsidRPr="00214C76">
        <w:rPr>
          <w:rFonts w:ascii="Times" w:hAnsi="Times"/>
        </w:rPr>
        <w:t xml:space="preserve">that a presumption </w:t>
      </w:r>
      <w:r w:rsidR="00116628">
        <w:rPr>
          <w:rFonts w:ascii="Times" w:hAnsi="Times"/>
        </w:rPr>
        <w:t xml:space="preserve">to the contrary </w:t>
      </w:r>
      <w:r w:rsidRPr="00214C76">
        <w:rPr>
          <w:rFonts w:ascii="Times" w:hAnsi="Times"/>
        </w:rPr>
        <w:t xml:space="preserve">cannot validly be drawn </w:t>
      </w:r>
      <w:r>
        <w:rPr>
          <w:rFonts w:ascii="Times" w:hAnsi="Times"/>
        </w:rPr>
        <w:t>with sufficient certainty to justify the imposition of a legal burden</w:t>
      </w:r>
      <w:r w:rsidRPr="00214C76">
        <w:rPr>
          <w:rFonts w:ascii="Times" w:hAnsi="Times"/>
        </w:rPr>
        <w:t xml:space="preserve">. </w:t>
      </w:r>
    </w:p>
    <w:p w14:paraId="412E4271" w14:textId="77777777" w:rsidR="007A6D1E" w:rsidRPr="007A6D1E" w:rsidRDefault="007A6D1E" w:rsidP="00335BBC">
      <w:pPr>
        <w:pStyle w:val="ListParagraph"/>
        <w:spacing w:line="360" w:lineRule="auto"/>
        <w:rPr>
          <w:rFonts w:ascii="Times" w:hAnsi="Times"/>
        </w:rPr>
      </w:pPr>
    </w:p>
    <w:p w14:paraId="0144A864" w14:textId="436B0116" w:rsidR="00BF3BE8" w:rsidRPr="00BF3BE8" w:rsidRDefault="007A6D1E" w:rsidP="00335BBC">
      <w:pPr>
        <w:pStyle w:val="ListParagraph"/>
        <w:numPr>
          <w:ilvl w:val="0"/>
          <w:numId w:val="2"/>
        </w:numPr>
        <w:spacing w:line="360" w:lineRule="auto"/>
        <w:jc w:val="both"/>
        <w:rPr>
          <w:rFonts w:ascii="Times" w:hAnsi="Times"/>
          <w:color w:val="000000" w:themeColor="text1"/>
        </w:rPr>
      </w:pPr>
      <w:r w:rsidRPr="00536B7D">
        <w:rPr>
          <w:rStyle w:val="user-highlighted-active"/>
          <w:rFonts w:ascii="Times" w:hAnsi="Times"/>
          <w:color w:val="000000" w:themeColor="text1"/>
        </w:rPr>
        <w:t xml:space="preserve">The Commission notes the comments of the </w:t>
      </w:r>
      <w:r>
        <w:rPr>
          <w:rStyle w:val="user-highlighted-active"/>
          <w:rFonts w:ascii="Times" w:hAnsi="Times"/>
          <w:color w:val="000000" w:themeColor="text1"/>
        </w:rPr>
        <w:t xml:space="preserve">House of Lords in </w:t>
      </w:r>
      <w:r w:rsidRPr="00C11A29">
        <w:rPr>
          <w:rStyle w:val="user-highlighted-active"/>
          <w:rFonts w:ascii="Times" w:hAnsi="Times"/>
          <w:i/>
          <w:iCs/>
          <w:color w:val="000000" w:themeColor="text1"/>
        </w:rPr>
        <w:t>R v G</w:t>
      </w:r>
      <w:r w:rsidR="004412EB">
        <w:rPr>
          <w:rStyle w:val="FootnoteReference"/>
          <w:rFonts w:ascii="Times" w:hAnsi="Times"/>
          <w:i/>
          <w:iCs/>
          <w:color w:val="000000" w:themeColor="text1"/>
        </w:rPr>
        <w:footnoteReference w:id="62"/>
      </w:r>
      <w:r>
        <w:rPr>
          <w:rStyle w:val="user-highlighted-active"/>
          <w:rFonts w:ascii="Times" w:hAnsi="Times"/>
          <w:color w:val="000000" w:themeColor="text1"/>
        </w:rPr>
        <w:t>, relied on by the Appellants,</w:t>
      </w:r>
      <w:r w:rsidRPr="00536B7D">
        <w:rPr>
          <w:rStyle w:val="user-highlighted-active"/>
          <w:rFonts w:ascii="Times" w:hAnsi="Times"/>
          <w:color w:val="000000" w:themeColor="text1"/>
        </w:rPr>
        <w:t xml:space="preserve"> in respect of the </w:t>
      </w:r>
      <w:r>
        <w:rPr>
          <w:rStyle w:val="user-highlighted-active"/>
          <w:rFonts w:ascii="Times" w:hAnsi="Times"/>
          <w:color w:val="000000" w:themeColor="text1"/>
        </w:rPr>
        <w:t>inherent moral culpability of a</w:t>
      </w:r>
      <w:r w:rsidR="00B5372C">
        <w:rPr>
          <w:rStyle w:val="user-highlighted-active"/>
          <w:rFonts w:ascii="Times" w:hAnsi="Times"/>
          <w:color w:val="000000" w:themeColor="text1"/>
        </w:rPr>
        <w:t>ny</w:t>
      </w:r>
      <w:r>
        <w:rPr>
          <w:rStyle w:val="user-highlighted-active"/>
          <w:rFonts w:ascii="Times" w:hAnsi="Times"/>
          <w:color w:val="000000" w:themeColor="text1"/>
        </w:rPr>
        <w:t xml:space="preserve"> person who has sex with a child. </w:t>
      </w:r>
      <w:r w:rsidR="0011188D">
        <w:rPr>
          <w:rStyle w:val="user-highlighted-active"/>
          <w:rFonts w:ascii="Times" w:hAnsi="Times"/>
          <w:color w:val="000000" w:themeColor="text1"/>
        </w:rPr>
        <w:t>The reasoning of the House of Lords relies heavily on the dissenting Judgment of McLachlin J in the Canadian case</w:t>
      </w:r>
      <w:r w:rsidR="00152913">
        <w:rPr>
          <w:rStyle w:val="user-highlighted-active"/>
          <w:rFonts w:ascii="Times" w:hAnsi="Times"/>
          <w:color w:val="000000" w:themeColor="text1"/>
        </w:rPr>
        <w:t>s</w:t>
      </w:r>
      <w:r w:rsidR="0011188D">
        <w:rPr>
          <w:rStyle w:val="user-highlighted-active"/>
          <w:rFonts w:ascii="Times" w:hAnsi="Times"/>
          <w:color w:val="000000" w:themeColor="text1"/>
        </w:rPr>
        <w:t xml:space="preserve"> of </w:t>
      </w:r>
      <w:r w:rsidR="0011188D" w:rsidRPr="0011188D">
        <w:rPr>
          <w:rStyle w:val="user-highlighted-active"/>
          <w:rFonts w:ascii="Times" w:hAnsi="Times"/>
          <w:i/>
          <w:iCs/>
          <w:color w:val="000000" w:themeColor="text1"/>
        </w:rPr>
        <w:t xml:space="preserve">R v Hess, R </w:t>
      </w:r>
      <w:r w:rsidR="0011188D">
        <w:rPr>
          <w:rStyle w:val="user-highlighted-active"/>
          <w:rFonts w:ascii="Times" w:hAnsi="Times"/>
          <w:i/>
          <w:iCs/>
          <w:color w:val="000000" w:themeColor="text1"/>
        </w:rPr>
        <w:t>v</w:t>
      </w:r>
      <w:r w:rsidR="0011188D" w:rsidRPr="0011188D">
        <w:rPr>
          <w:rStyle w:val="user-highlighted-active"/>
          <w:rFonts w:ascii="Times" w:hAnsi="Times"/>
          <w:i/>
          <w:iCs/>
          <w:color w:val="000000" w:themeColor="text1"/>
        </w:rPr>
        <w:t xml:space="preserve"> Nguyen</w:t>
      </w:r>
      <w:r w:rsidR="00C7213D">
        <w:rPr>
          <w:rStyle w:val="FootnoteReference"/>
          <w:rFonts w:ascii="Times" w:hAnsi="Times"/>
          <w:color w:val="333333"/>
          <w:shd w:val="clear" w:color="auto" w:fill="FFFFFF"/>
        </w:rPr>
        <w:footnoteReference w:id="63"/>
      </w:r>
      <w:r w:rsidR="0011188D">
        <w:rPr>
          <w:rStyle w:val="user-highlighted-active"/>
          <w:rFonts w:ascii="Times" w:hAnsi="Times"/>
          <w:color w:val="000000" w:themeColor="text1"/>
        </w:rPr>
        <w:t xml:space="preserve">. </w:t>
      </w:r>
      <w:r w:rsidR="00152913">
        <w:rPr>
          <w:rStyle w:val="user-highlighted-active"/>
          <w:rFonts w:ascii="Times" w:hAnsi="Times"/>
          <w:color w:val="000000" w:themeColor="text1"/>
        </w:rPr>
        <w:t>But t</w:t>
      </w:r>
      <w:r w:rsidR="0011188D">
        <w:rPr>
          <w:rStyle w:val="user-highlighted-active"/>
          <w:rFonts w:ascii="Times" w:hAnsi="Times"/>
          <w:color w:val="000000" w:themeColor="text1"/>
        </w:rPr>
        <w:t xml:space="preserve">his Court in </w:t>
      </w:r>
      <w:r w:rsidR="0011188D" w:rsidRPr="0011188D">
        <w:rPr>
          <w:rStyle w:val="user-highlighted-active"/>
          <w:rFonts w:ascii="Times" w:hAnsi="Times"/>
          <w:i/>
          <w:iCs/>
          <w:color w:val="000000" w:themeColor="text1"/>
        </w:rPr>
        <w:t>CC</w:t>
      </w:r>
      <w:r w:rsidR="0011188D">
        <w:rPr>
          <w:rStyle w:val="user-highlighted-active"/>
          <w:rFonts w:ascii="Times" w:hAnsi="Times"/>
          <w:color w:val="000000" w:themeColor="text1"/>
        </w:rPr>
        <w:t>, per Hardiman J,</w:t>
      </w:r>
      <w:r w:rsidR="00152913">
        <w:rPr>
          <w:rStyle w:val="user-highlighted-active"/>
          <w:rFonts w:ascii="Times" w:hAnsi="Times"/>
          <w:color w:val="000000" w:themeColor="text1"/>
        </w:rPr>
        <w:t xml:space="preserve"> </w:t>
      </w:r>
      <w:r w:rsidR="0011188D">
        <w:rPr>
          <w:rStyle w:val="user-highlighted-active"/>
          <w:rFonts w:ascii="Times" w:hAnsi="Times"/>
          <w:color w:val="000000" w:themeColor="text1"/>
        </w:rPr>
        <w:t xml:space="preserve">described McLachlin J’s reasoning as </w:t>
      </w:r>
      <w:r w:rsidR="0011188D" w:rsidRPr="0011188D">
        <w:rPr>
          <w:rStyle w:val="user-highlighted-active"/>
          <w:rFonts w:ascii="Times" w:hAnsi="Times"/>
          <w:i/>
          <w:iCs/>
          <w:color w:val="000000" w:themeColor="text1"/>
        </w:rPr>
        <w:t>‘crudely utilitarian</w:t>
      </w:r>
      <w:r w:rsidR="0093222F">
        <w:rPr>
          <w:rStyle w:val="user-highlighted-active"/>
          <w:rFonts w:ascii="Times" w:hAnsi="Times"/>
          <w:i/>
          <w:iCs/>
          <w:color w:val="000000" w:themeColor="text1"/>
        </w:rPr>
        <w:t>’</w:t>
      </w:r>
      <w:r w:rsidR="0093222F">
        <w:rPr>
          <w:rStyle w:val="FootnoteReference"/>
          <w:rFonts w:ascii="Times" w:hAnsi="Times"/>
          <w:i/>
          <w:iCs/>
          <w:color w:val="000000" w:themeColor="text1"/>
        </w:rPr>
        <w:footnoteReference w:id="64"/>
      </w:r>
      <w:r w:rsidR="0011188D">
        <w:t>, and irreconcilable with our own Constitution.</w:t>
      </w:r>
      <w:r w:rsidR="00BF3BE8">
        <w:t xml:space="preserve"> It is </w:t>
      </w:r>
      <w:r w:rsidR="00152913">
        <w:t>not</w:t>
      </w:r>
      <w:r w:rsidR="00BF3BE8">
        <w:t xml:space="preserve"> constitutionally permissible to criminalise a person on the basis that they should have taken care to ensure their sexual </w:t>
      </w:r>
      <w:r w:rsidR="00BF3BE8">
        <w:lastRenderedPageBreak/>
        <w:t>partner was over 17, without also establishing to the requisite standard of proof that they did not in fact take such care.</w:t>
      </w:r>
      <w:r w:rsidR="0011188D" w:rsidRPr="0011188D">
        <w:t xml:space="preserve"> </w:t>
      </w:r>
    </w:p>
    <w:p w14:paraId="7E0261E5" w14:textId="77777777" w:rsidR="0011188D" w:rsidRPr="0011188D" w:rsidRDefault="0011188D" w:rsidP="00335BBC">
      <w:pPr>
        <w:pStyle w:val="ListParagraph"/>
        <w:spacing w:line="360" w:lineRule="auto"/>
        <w:rPr>
          <w:rFonts w:ascii="Times" w:hAnsi="Times"/>
          <w:color w:val="000000" w:themeColor="text1"/>
        </w:rPr>
      </w:pPr>
    </w:p>
    <w:p w14:paraId="4CB81DC3" w14:textId="0B171E84" w:rsidR="007A6D1E" w:rsidRDefault="007A6D1E" w:rsidP="00335BBC">
      <w:pPr>
        <w:pStyle w:val="ListParagraph"/>
        <w:numPr>
          <w:ilvl w:val="0"/>
          <w:numId w:val="2"/>
        </w:numPr>
        <w:spacing w:line="360" w:lineRule="auto"/>
        <w:jc w:val="both"/>
        <w:rPr>
          <w:rFonts w:ascii="Times" w:hAnsi="Times"/>
          <w:color w:val="000000" w:themeColor="text1"/>
        </w:rPr>
      </w:pPr>
      <w:r w:rsidRPr="00536B7D">
        <w:rPr>
          <w:rFonts w:ascii="Times" w:hAnsi="Times"/>
          <w:color w:val="000000" w:themeColor="text1"/>
        </w:rPr>
        <w:t xml:space="preserve">There </w:t>
      </w:r>
      <w:r>
        <w:rPr>
          <w:rFonts w:ascii="Times" w:hAnsi="Times"/>
          <w:color w:val="000000" w:themeColor="text1"/>
        </w:rPr>
        <w:t>may</w:t>
      </w:r>
      <w:r w:rsidRPr="00536B7D">
        <w:rPr>
          <w:rFonts w:ascii="Times" w:hAnsi="Times"/>
          <w:color w:val="000000" w:themeColor="text1"/>
        </w:rPr>
        <w:t xml:space="preserve"> </w:t>
      </w:r>
      <w:r w:rsidR="00116628">
        <w:rPr>
          <w:rFonts w:ascii="Times" w:hAnsi="Times"/>
          <w:color w:val="000000" w:themeColor="text1"/>
        </w:rPr>
        <w:t xml:space="preserve">well </w:t>
      </w:r>
      <w:r w:rsidRPr="00536B7D">
        <w:rPr>
          <w:rFonts w:ascii="Times" w:hAnsi="Times"/>
          <w:color w:val="000000" w:themeColor="text1"/>
        </w:rPr>
        <w:t>be circ</w:t>
      </w:r>
      <w:r>
        <w:rPr>
          <w:rFonts w:ascii="Times" w:hAnsi="Times"/>
          <w:color w:val="000000" w:themeColor="text1"/>
        </w:rPr>
        <w:t>umstances in which</w:t>
      </w:r>
      <w:r w:rsidRPr="00536B7D">
        <w:rPr>
          <w:rFonts w:ascii="Times" w:hAnsi="Times"/>
          <w:color w:val="000000" w:themeColor="text1"/>
        </w:rPr>
        <w:t xml:space="preserve"> </w:t>
      </w:r>
      <w:r>
        <w:rPr>
          <w:rFonts w:ascii="Times" w:hAnsi="Times"/>
          <w:color w:val="000000" w:themeColor="text1"/>
        </w:rPr>
        <w:t>an accused has been subjectively reckless</w:t>
      </w:r>
      <w:r w:rsidRPr="00536B7D">
        <w:rPr>
          <w:rFonts w:ascii="Times" w:hAnsi="Times"/>
          <w:color w:val="000000" w:themeColor="text1"/>
        </w:rPr>
        <w:t xml:space="preserve"> </w:t>
      </w:r>
      <w:r>
        <w:rPr>
          <w:rFonts w:ascii="Times" w:hAnsi="Times"/>
          <w:color w:val="000000" w:themeColor="text1"/>
        </w:rPr>
        <w:t xml:space="preserve">in respect of the age of their sexual partner. It is not suggested that the law </w:t>
      </w:r>
      <w:r w:rsidR="00BF3BE8">
        <w:rPr>
          <w:rFonts w:ascii="Times" w:hAnsi="Times"/>
          <w:color w:val="000000" w:themeColor="text1"/>
        </w:rPr>
        <w:t>does</w:t>
      </w:r>
      <w:r>
        <w:rPr>
          <w:rFonts w:ascii="Times" w:hAnsi="Times"/>
          <w:color w:val="000000" w:themeColor="text1"/>
        </w:rPr>
        <w:t xml:space="preserve"> not criminalise such conduct.</w:t>
      </w:r>
      <w:r w:rsidR="00BF3BE8">
        <w:rPr>
          <w:rFonts w:ascii="Times" w:hAnsi="Times"/>
          <w:color w:val="000000" w:themeColor="text1"/>
        </w:rPr>
        <w:t xml:space="preserve"> It is submitted that </w:t>
      </w:r>
      <w:r w:rsidR="00897FA6">
        <w:rPr>
          <w:rFonts w:ascii="Times" w:hAnsi="Times"/>
          <w:color w:val="000000" w:themeColor="text1"/>
        </w:rPr>
        <w:t xml:space="preserve">proof of </w:t>
      </w:r>
      <w:r w:rsidR="00BF3BE8">
        <w:rPr>
          <w:rFonts w:ascii="Times" w:hAnsi="Times"/>
          <w:color w:val="000000" w:themeColor="text1"/>
        </w:rPr>
        <w:t xml:space="preserve">recklessness, in the sense of adverting to but disregarding a serious risk, </w:t>
      </w:r>
      <w:r w:rsidR="00897FA6">
        <w:rPr>
          <w:rFonts w:ascii="Times" w:hAnsi="Times"/>
          <w:color w:val="000000" w:themeColor="text1"/>
        </w:rPr>
        <w:t>establishes</w:t>
      </w:r>
      <w:r w:rsidR="00BF3BE8">
        <w:rPr>
          <w:rFonts w:ascii="Times" w:hAnsi="Times"/>
          <w:color w:val="000000" w:themeColor="text1"/>
        </w:rPr>
        <w:t xml:space="preserve"> the </w:t>
      </w:r>
      <w:r w:rsidR="00BF3BE8" w:rsidRPr="00BF3BE8">
        <w:rPr>
          <w:rFonts w:ascii="Times" w:hAnsi="Times"/>
          <w:i/>
          <w:iCs/>
          <w:color w:val="000000" w:themeColor="text1"/>
        </w:rPr>
        <w:t>mens rea</w:t>
      </w:r>
      <w:r w:rsidR="00BF3BE8">
        <w:rPr>
          <w:rFonts w:ascii="Times" w:hAnsi="Times"/>
          <w:color w:val="000000" w:themeColor="text1"/>
        </w:rPr>
        <w:t xml:space="preserve"> of the defilement offence.</w:t>
      </w:r>
      <w:r>
        <w:rPr>
          <w:rFonts w:ascii="Times" w:hAnsi="Times"/>
          <w:color w:val="000000" w:themeColor="text1"/>
        </w:rPr>
        <w:t xml:space="preserve"> However, the availability of a defence of reasonable mistake </w:t>
      </w:r>
      <w:r w:rsidR="00116628">
        <w:rPr>
          <w:rFonts w:ascii="Times" w:hAnsi="Times"/>
          <w:color w:val="000000" w:themeColor="text1"/>
        </w:rPr>
        <w:t>encompasses</w:t>
      </w:r>
      <w:r>
        <w:rPr>
          <w:rFonts w:ascii="Times" w:hAnsi="Times"/>
          <w:color w:val="000000" w:themeColor="text1"/>
        </w:rPr>
        <w:t xml:space="preserve"> circumstances in which the accused </w:t>
      </w:r>
      <w:r w:rsidR="00427B81">
        <w:rPr>
          <w:rFonts w:ascii="Times" w:hAnsi="Times"/>
          <w:color w:val="000000" w:themeColor="text1"/>
        </w:rPr>
        <w:t>will be</w:t>
      </w:r>
      <w:r>
        <w:rPr>
          <w:rFonts w:ascii="Times" w:hAnsi="Times"/>
          <w:color w:val="000000" w:themeColor="text1"/>
        </w:rPr>
        <w:t xml:space="preserve"> mentally innocent, in that they were genuinely </w:t>
      </w:r>
      <w:r w:rsidR="00897FA6">
        <w:rPr>
          <w:rFonts w:ascii="Times" w:hAnsi="Times"/>
          <w:color w:val="000000" w:themeColor="text1"/>
        </w:rPr>
        <w:t xml:space="preserve">and reasonably </w:t>
      </w:r>
      <w:r>
        <w:rPr>
          <w:rFonts w:ascii="Times" w:hAnsi="Times"/>
          <w:color w:val="000000" w:themeColor="text1"/>
        </w:rPr>
        <w:t>mistaken as to age</w:t>
      </w:r>
      <w:r w:rsidR="006752FE">
        <w:rPr>
          <w:rFonts w:ascii="Times" w:hAnsi="Times"/>
          <w:color w:val="000000" w:themeColor="text1"/>
        </w:rPr>
        <w:t xml:space="preserve"> and not reckless.</w:t>
      </w:r>
      <w:r>
        <w:rPr>
          <w:rFonts w:ascii="Times" w:hAnsi="Times"/>
          <w:color w:val="000000" w:themeColor="text1"/>
        </w:rPr>
        <w:t xml:space="preserve"> </w:t>
      </w:r>
    </w:p>
    <w:p w14:paraId="5907E070" w14:textId="77777777" w:rsidR="00BF3BE8" w:rsidRPr="00BF3BE8" w:rsidRDefault="00BF3BE8" w:rsidP="00335BBC">
      <w:pPr>
        <w:pStyle w:val="ListParagraph"/>
        <w:spacing w:line="360" w:lineRule="auto"/>
        <w:rPr>
          <w:rFonts w:ascii="Times" w:hAnsi="Times"/>
          <w:color w:val="000000" w:themeColor="text1"/>
        </w:rPr>
      </w:pPr>
    </w:p>
    <w:p w14:paraId="242FCE3E" w14:textId="10FA53DF" w:rsidR="00BF3BE8" w:rsidRDefault="00BF3BE8" w:rsidP="00335BBC">
      <w:pPr>
        <w:pStyle w:val="ListParagraph"/>
        <w:numPr>
          <w:ilvl w:val="0"/>
          <w:numId w:val="2"/>
        </w:numPr>
        <w:spacing w:line="360" w:lineRule="auto"/>
        <w:jc w:val="both"/>
        <w:rPr>
          <w:rFonts w:ascii="Times" w:hAnsi="Times"/>
          <w:color w:val="000000" w:themeColor="text1"/>
        </w:rPr>
      </w:pPr>
      <w:r>
        <w:rPr>
          <w:rFonts w:ascii="Times" w:hAnsi="Times"/>
          <w:color w:val="000000" w:themeColor="text1"/>
        </w:rPr>
        <w:t xml:space="preserve">Seen in this way, the defence of mistake is correctly described as the negativing of the </w:t>
      </w:r>
      <w:r w:rsidRPr="00335BBC">
        <w:rPr>
          <w:rFonts w:ascii="Times" w:hAnsi="Times"/>
          <w:i/>
          <w:iCs/>
          <w:color w:val="000000" w:themeColor="text1"/>
        </w:rPr>
        <w:t>mens rea</w:t>
      </w:r>
      <w:r>
        <w:rPr>
          <w:rFonts w:ascii="Times" w:hAnsi="Times"/>
          <w:color w:val="000000" w:themeColor="text1"/>
        </w:rPr>
        <w:t xml:space="preserve">. As noted in </w:t>
      </w:r>
      <w:r w:rsidRPr="00BF3BE8">
        <w:rPr>
          <w:rFonts w:ascii="Times" w:hAnsi="Times"/>
          <w:i/>
          <w:iCs/>
          <w:color w:val="000000" w:themeColor="text1"/>
        </w:rPr>
        <w:t>Charleton &amp; McDermott’s Criminal Law and Evidence</w:t>
      </w:r>
      <w:r>
        <w:rPr>
          <w:rFonts w:ascii="Times" w:hAnsi="Times"/>
          <w:color w:val="000000" w:themeColor="text1"/>
        </w:rPr>
        <w:t>, at [25.01]:</w:t>
      </w:r>
    </w:p>
    <w:p w14:paraId="30A1ACA2" w14:textId="77777777" w:rsidR="00BF3BE8" w:rsidRPr="00BF3BE8" w:rsidRDefault="00BF3BE8" w:rsidP="00335BBC">
      <w:pPr>
        <w:pStyle w:val="ListParagraph"/>
        <w:spacing w:line="360" w:lineRule="auto"/>
        <w:rPr>
          <w:rFonts w:ascii="Times" w:hAnsi="Times"/>
          <w:color w:val="000000" w:themeColor="text1"/>
        </w:rPr>
      </w:pPr>
    </w:p>
    <w:p w14:paraId="46BBE088" w14:textId="201726C8" w:rsidR="00BF3BE8" w:rsidRPr="00BF3BE8" w:rsidRDefault="00BF3BE8" w:rsidP="00335BBC">
      <w:pPr>
        <w:pStyle w:val="ListParagraph"/>
        <w:spacing w:line="360" w:lineRule="auto"/>
        <w:jc w:val="both"/>
        <w:rPr>
          <w:rFonts w:ascii="Times" w:hAnsi="Times"/>
          <w:i/>
          <w:iCs/>
          <w:color w:val="000000" w:themeColor="text1"/>
        </w:rPr>
      </w:pPr>
      <w:r>
        <w:rPr>
          <w:rFonts w:ascii="Times" w:hAnsi="Times" w:cs="Open Sans"/>
          <w:i/>
          <w:iCs/>
          <w:color w:val="000000" w:themeColor="text1"/>
          <w:shd w:val="clear" w:color="auto" w:fill="FFFFFF"/>
        </w:rPr>
        <w:t>‘</w:t>
      </w:r>
      <w:r w:rsidRPr="00BF3BE8">
        <w:rPr>
          <w:rFonts w:ascii="Times" w:hAnsi="Times" w:cs="Open Sans"/>
          <w:i/>
          <w:iCs/>
          <w:color w:val="000000" w:themeColor="text1"/>
          <w:shd w:val="clear" w:color="auto" w:fill="FFFFFF"/>
        </w:rPr>
        <w:t>Where a statute requires that an accused act culpably, with intent or recklessness or knowledge or belief, the failure to prove that definitional mental element is an absence of requisite proof whereby the offence is made out. It is incorrect, in this context, to refer to a mistake as a defence at all, as it is merely an application of the rule that the prosecution must prove all the relevant elements of the offence.</w:t>
      </w:r>
      <w:r>
        <w:rPr>
          <w:rFonts w:ascii="Times" w:hAnsi="Times" w:cs="Open Sans"/>
          <w:i/>
          <w:iCs/>
          <w:color w:val="000000" w:themeColor="text1"/>
          <w:shd w:val="clear" w:color="auto" w:fill="FFFFFF"/>
        </w:rPr>
        <w:t>’</w:t>
      </w:r>
    </w:p>
    <w:p w14:paraId="0407DFEA" w14:textId="77777777" w:rsidR="007A6D1E" w:rsidRPr="007A6D1E" w:rsidRDefault="007A6D1E" w:rsidP="00335BBC">
      <w:pPr>
        <w:spacing w:line="360" w:lineRule="auto"/>
        <w:jc w:val="both"/>
        <w:rPr>
          <w:rFonts w:ascii="Times" w:hAnsi="Times"/>
          <w:color w:val="000000" w:themeColor="text1"/>
        </w:rPr>
      </w:pPr>
    </w:p>
    <w:p w14:paraId="458A0A98" w14:textId="33379B67" w:rsidR="007A6D1E" w:rsidRDefault="0061116E" w:rsidP="00335BBC">
      <w:pPr>
        <w:pStyle w:val="ListParagraph"/>
        <w:numPr>
          <w:ilvl w:val="0"/>
          <w:numId w:val="2"/>
        </w:numPr>
        <w:spacing w:line="360" w:lineRule="auto"/>
        <w:jc w:val="both"/>
        <w:rPr>
          <w:rFonts w:ascii="Times" w:hAnsi="Times"/>
        </w:rPr>
      </w:pPr>
      <w:r>
        <w:rPr>
          <w:rFonts w:ascii="Times" w:hAnsi="Times"/>
        </w:rPr>
        <w:t>To impose criminal liability</w:t>
      </w:r>
      <w:r w:rsidR="000838EF">
        <w:rPr>
          <w:rFonts w:ascii="Times" w:hAnsi="Times"/>
        </w:rPr>
        <w:t xml:space="preserve"> </w:t>
      </w:r>
      <w:r w:rsidR="00BF3BE8">
        <w:rPr>
          <w:rFonts w:ascii="Times" w:hAnsi="Times"/>
        </w:rPr>
        <w:t>notwithstanding the absence</w:t>
      </w:r>
      <w:r>
        <w:rPr>
          <w:rFonts w:ascii="Times" w:hAnsi="Times"/>
        </w:rPr>
        <w:t xml:space="preserve"> </w:t>
      </w:r>
      <w:r w:rsidR="00BF3BE8">
        <w:rPr>
          <w:rFonts w:ascii="Times" w:hAnsi="Times"/>
        </w:rPr>
        <w:t>of</w:t>
      </w:r>
      <w:r w:rsidR="000838EF">
        <w:rPr>
          <w:rFonts w:ascii="Times" w:hAnsi="Times"/>
        </w:rPr>
        <w:t xml:space="preserve"> </w:t>
      </w:r>
      <w:r>
        <w:rPr>
          <w:rFonts w:ascii="Times" w:hAnsi="Times"/>
        </w:rPr>
        <w:t xml:space="preserve">a </w:t>
      </w:r>
      <w:r w:rsidR="00BF3BE8">
        <w:rPr>
          <w:rFonts w:ascii="Times" w:hAnsi="Times"/>
        </w:rPr>
        <w:t xml:space="preserve">culpable </w:t>
      </w:r>
      <w:r>
        <w:rPr>
          <w:rFonts w:ascii="Times" w:hAnsi="Times"/>
        </w:rPr>
        <w:t>mental element</w:t>
      </w:r>
      <w:r w:rsidR="00C207C6">
        <w:rPr>
          <w:rFonts w:ascii="Times" w:hAnsi="Times"/>
        </w:rPr>
        <w:t xml:space="preserve"> </w:t>
      </w:r>
      <w:r>
        <w:rPr>
          <w:rFonts w:ascii="Times" w:hAnsi="Times"/>
        </w:rPr>
        <w:t>would appea</w:t>
      </w:r>
      <w:r w:rsidR="000838EF">
        <w:rPr>
          <w:rFonts w:ascii="Times" w:hAnsi="Times"/>
        </w:rPr>
        <w:t>r</w:t>
      </w:r>
      <w:r>
        <w:rPr>
          <w:rFonts w:ascii="Times" w:hAnsi="Times"/>
        </w:rPr>
        <w:t xml:space="preserve"> to treat the accused as a ‘</w:t>
      </w:r>
      <w:r w:rsidRPr="0061116E">
        <w:rPr>
          <w:rFonts w:ascii="Times" w:hAnsi="Times"/>
          <w:i/>
          <w:iCs/>
        </w:rPr>
        <w:t>little more than a</w:t>
      </w:r>
      <w:r>
        <w:rPr>
          <w:rFonts w:ascii="Times" w:hAnsi="Times"/>
        </w:rPr>
        <w:t xml:space="preserve"> </w:t>
      </w:r>
      <w:r w:rsidRPr="0061116E">
        <w:rPr>
          <w:rFonts w:ascii="Times" w:hAnsi="Times"/>
          <w:i/>
          <w:iCs/>
        </w:rPr>
        <w:t>means to an end</w:t>
      </w:r>
      <w:r>
        <w:rPr>
          <w:rFonts w:ascii="Times" w:hAnsi="Times"/>
          <w:i/>
          <w:iCs/>
        </w:rPr>
        <w:t xml:space="preserve">’, </w:t>
      </w:r>
      <w:r w:rsidRPr="0061116E">
        <w:rPr>
          <w:rFonts w:ascii="Times" w:hAnsi="Times"/>
        </w:rPr>
        <w:t xml:space="preserve">contrary to the </w:t>
      </w:r>
      <w:r w:rsidR="00116628">
        <w:rPr>
          <w:rFonts w:ascii="Times" w:hAnsi="Times"/>
        </w:rPr>
        <w:t>prohibition</w:t>
      </w:r>
      <w:r w:rsidRPr="0061116E">
        <w:rPr>
          <w:rFonts w:ascii="Times" w:hAnsi="Times"/>
        </w:rPr>
        <w:t xml:space="preserve"> of this Court in </w:t>
      </w:r>
      <w:r w:rsidRPr="00C11A29">
        <w:rPr>
          <w:rFonts w:ascii="Times" w:hAnsi="Times"/>
          <w:i/>
          <w:iCs/>
        </w:rPr>
        <w:t>CC</w:t>
      </w:r>
      <w:r>
        <w:rPr>
          <w:rFonts w:ascii="Times" w:hAnsi="Times"/>
          <w:i/>
          <w:iCs/>
        </w:rPr>
        <w:t xml:space="preserve">. </w:t>
      </w:r>
      <w:r w:rsidRPr="007A6D1E">
        <w:rPr>
          <w:rFonts w:ascii="Times" w:hAnsi="Times"/>
        </w:rPr>
        <w:t>For the same reason, imposing a legal burden on the accused w</w:t>
      </w:r>
      <w:r w:rsidR="00116628">
        <w:rPr>
          <w:rFonts w:ascii="Times" w:hAnsi="Times"/>
        </w:rPr>
        <w:t>hich will</w:t>
      </w:r>
      <w:r w:rsidRPr="007A6D1E">
        <w:rPr>
          <w:rFonts w:ascii="Times" w:hAnsi="Times"/>
        </w:rPr>
        <w:t xml:space="preserve"> lead to </w:t>
      </w:r>
      <w:r w:rsidR="00427B81">
        <w:rPr>
          <w:rFonts w:ascii="Times" w:hAnsi="Times"/>
        </w:rPr>
        <w:t xml:space="preserve">the </w:t>
      </w:r>
      <w:r w:rsidRPr="007A6D1E">
        <w:rPr>
          <w:rFonts w:ascii="Times" w:hAnsi="Times"/>
        </w:rPr>
        <w:t xml:space="preserve">conviction of the </w:t>
      </w:r>
      <w:r w:rsidR="007A6D1E" w:rsidRPr="007A6D1E">
        <w:rPr>
          <w:rFonts w:ascii="Times" w:hAnsi="Times"/>
        </w:rPr>
        <w:t xml:space="preserve">mentally </w:t>
      </w:r>
      <w:r w:rsidRPr="007A6D1E">
        <w:rPr>
          <w:rFonts w:ascii="Times" w:hAnsi="Times"/>
        </w:rPr>
        <w:t>innocent</w:t>
      </w:r>
      <w:r w:rsidR="00116628">
        <w:rPr>
          <w:rFonts w:ascii="Times" w:hAnsi="Times"/>
        </w:rPr>
        <w:t xml:space="preserve"> </w:t>
      </w:r>
      <w:r w:rsidR="007A6D1E" w:rsidRPr="007A6D1E">
        <w:rPr>
          <w:rFonts w:ascii="Times" w:hAnsi="Times"/>
        </w:rPr>
        <w:t xml:space="preserve">would also breach the principles set out by Hardiman J in </w:t>
      </w:r>
      <w:r w:rsidR="00116628" w:rsidRPr="00116628">
        <w:rPr>
          <w:rFonts w:ascii="Times" w:hAnsi="Times"/>
          <w:i/>
          <w:iCs/>
        </w:rPr>
        <w:t>CC</w:t>
      </w:r>
      <w:r w:rsidR="007A6D1E" w:rsidRPr="007A6D1E">
        <w:rPr>
          <w:rFonts w:ascii="Times" w:hAnsi="Times"/>
        </w:rPr>
        <w:t xml:space="preserve">. </w:t>
      </w:r>
      <w:r w:rsidRPr="007A6D1E">
        <w:rPr>
          <w:rFonts w:ascii="Times" w:hAnsi="Times"/>
        </w:rPr>
        <w:t xml:space="preserve"> </w:t>
      </w:r>
    </w:p>
    <w:p w14:paraId="5BC54ED2" w14:textId="77777777" w:rsidR="007A6D1E" w:rsidRDefault="007A6D1E" w:rsidP="00335BBC">
      <w:pPr>
        <w:pStyle w:val="ListParagraph"/>
        <w:spacing w:line="360" w:lineRule="auto"/>
      </w:pPr>
    </w:p>
    <w:p w14:paraId="735B4A21" w14:textId="0C4B5ED2" w:rsidR="004C19B0" w:rsidRPr="007A6D1E" w:rsidRDefault="007A6D1E" w:rsidP="00335BBC">
      <w:pPr>
        <w:pStyle w:val="ListParagraph"/>
        <w:numPr>
          <w:ilvl w:val="0"/>
          <w:numId w:val="2"/>
        </w:numPr>
        <w:spacing w:line="360" w:lineRule="auto"/>
        <w:jc w:val="both"/>
        <w:rPr>
          <w:rFonts w:ascii="Times" w:hAnsi="Times"/>
        </w:rPr>
      </w:pPr>
      <w:r>
        <w:t xml:space="preserve">The Commission further submits that it has not been </w:t>
      </w:r>
      <w:r w:rsidR="0061116E">
        <w:t xml:space="preserve">demonstrated </w:t>
      </w:r>
      <w:r>
        <w:t>that</w:t>
      </w:r>
      <w:r w:rsidR="0061116E">
        <w:t xml:space="preserve"> it is necessary to place a legal, as opposed to an evidential burden, on </w:t>
      </w:r>
      <w:r>
        <w:t>an</w:t>
      </w:r>
      <w:r w:rsidR="0061116E">
        <w:t xml:space="preserve"> accused</w:t>
      </w:r>
      <w:r w:rsidR="00116628">
        <w:t xml:space="preserve"> in a defilement prosecution.</w:t>
      </w:r>
      <w:r w:rsidR="0061116E">
        <w:t xml:space="preserve"> In the case of both burdens, the accused must engage with the evidence against them, mostly likely by setting out, during garda interview or in the witness box, the reasonable grounds that led them to their </w:t>
      </w:r>
      <w:r w:rsidR="00116628">
        <w:t xml:space="preserve">genuine </w:t>
      </w:r>
      <w:r w:rsidR="0061116E">
        <w:t xml:space="preserve">belief. If the accused does not do so, they will likely be convicted irrespective of the burden of proof they carry. If </w:t>
      </w:r>
      <w:r w:rsidR="00E71081">
        <w:t>an</w:t>
      </w:r>
      <w:r w:rsidR="0061116E">
        <w:t xml:space="preserve"> accused does engage</w:t>
      </w:r>
      <w:r w:rsidR="00E71081">
        <w:t xml:space="preserve"> with these necessary proofs</w:t>
      </w:r>
      <w:r w:rsidR="0061116E">
        <w:t xml:space="preserve">, </w:t>
      </w:r>
      <w:r w:rsidR="00116628">
        <w:t xml:space="preserve">what </w:t>
      </w:r>
      <w:r w:rsidR="00E71081">
        <w:t xml:space="preserve">then </w:t>
      </w:r>
      <w:r w:rsidR="00116628">
        <w:t>is the</w:t>
      </w:r>
      <w:r w:rsidR="0061116E">
        <w:t xml:space="preserve"> difficulty with the </w:t>
      </w:r>
      <w:r w:rsidR="00116628">
        <w:t>j</w:t>
      </w:r>
      <w:r w:rsidR="0061116E">
        <w:t>ury assessing the evidence in the usual way</w:t>
      </w:r>
      <w:r w:rsidR="00E71081">
        <w:t xml:space="preserve"> and with the presumption of innocence intact</w:t>
      </w:r>
      <w:r w:rsidR="0061116E">
        <w:t xml:space="preserve">? </w:t>
      </w:r>
    </w:p>
    <w:p w14:paraId="21BC8F9F" w14:textId="587B53DD" w:rsidR="00832E2C" w:rsidRDefault="00832E2C" w:rsidP="00335BBC">
      <w:pPr>
        <w:spacing w:line="360" w:lineRule="auto"/>
        <w:rPr>
          <w:rFonts w:ascii="Times" w:hAnsi="Times" w:cs="Open Sans"/>
          <w:color w:val="000000"/>
          <w:shd w:val="clear" w:color="auto" w:fill="FFFFFF"/>
        </w:rPr>
      </w:pPr>
    </w:p>
    <w:p w14:paraId="411A1001" w14:textId="7CD8967E" w:rsidR="00897FA6" w:rsidRDefault="00897FA6" w:rsidP="00E3746D">
      <w:pPr>
        <w:pStyle w:val="Heading1"/>
      </w:pPr>
      <w:bookmarkStart w:id="14" w:name="_Toc128532600"/>
      <w:r>
        <w:t>Proportionality and evidence</w:t>
      </w:r>
      <w:bookmarkEnd w:id="14"/>
    </w:p>
    <w:p w14:paraId="0E4D2892" w14:textId="77777777" w:rsidR="00897FA6" w:rsidRPr="007A4DBE" w:rsidRDefault="00897FA6" w:rsidP="00335BBC">
      <w:pPr>
        <w:spacing w:line="360" w:lineRule="auto"/>
        <w:rPr>
          <w:rFonts w:ascii="Times" w:hAnsi="Times" w:cs="Open Sans"/>
          <w:color w:val="000000"/>
          <w:shd w:val="clear" w:color="auto" w:fill="FFFFFF"/>
        </w:rPr>
      </w:pPr>
    </w:p>
    <w:p w14:paraId="19513B07" w14:textId="3DAB8DEF" w:rsidR="00BE1BE7" w:rsidRPr="00335BBC" w:rsidRDefault="00832E2C"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shd w:val="clear" w:color="auto" w:fill="FFFFFF"/>
        </w:rPr>
        <w:t>S</w:t>
      </w:r>
      <w:r w:rsidR="009E7D89">
        <w:rPr>
          <w:rFonts w:ascii="Times" w:hAnsi="Times" w:cs="Open Sans"/>
          <w:color w:val="000000"/>
          <w:shd w:val="clear" w:color="auto" w:fill="FFFFFF"/>
        </w:rPr>
        <w:t xml:space="preserve">pecific considerations </w:t>
      </w:r>
      <w:r w:rsidR="00E71081">
        <w:rPr>
          <w:rFonts w:ascii="Times" w:hAnsi="Times" w:cs="Open Sans"/>
          <w:color w:val="000000"/>
          <w:shd w:val="clear" w:color="auto" w:fill="FFFFFF"/>
        </w:rPr>
        <w:t>have been</w:t>
      </w:r>
      <w:r w:rsidR="00E03112">
        <w:rPr>
          <w:rFonts w:ascii="Times" w:hAnsi="Times" w:cs="Open Sans"/>
          <w:color w:val="000000"/>
          <w:shd w:val="clear" w:color="auto" w:fill="FFFFFF"/>
        </w:rPr>
        <w:t xml:space="preserve"> held to be</w:t>
      </w:r>
      <w:r w:rsidR="00E71081">
        <w:rPr>
          <w:rFonts w:ascii="Times" w:hAnsi="Times" w:cs="Open Sans"/>
          <w:color w:val="000000"/>
          <w:shd w:val="clear" w:color="auto" w:fill="FFFFFF"/>
        </w:rPr>
        <w:t xml:space="preserve"> relevant in other jurisdictions</w:t>
      </w:r>
      <w:r w:rsidR="005919E2">
        <w:rPr>
          <w:rFonts w:ascii="Times" w:hAnsi="Times" w:cs="Open Sans"/>
          <w:color w:val="000000"/>
          <w:shd w:val="clear" w:color="auto" w:fill="FFFFFF"/>
        </w:rPr>
        <w:t xml:space="preserve"> in the context of assessing the constitutionality of a reverse burden of proof</w:t>
      </w:r>
      <w:r w:rsidR="00E71081">
        <w:rPr>
          <w:rFonts w:ascii="Times" w:hAnsi="Times" w:cs="Open Sans"/>
          <w:color w:val="000000"/>
          <w:shd w:val="clear" w:color="auto" w:fill="FFFFFF"/>
        </w:rPr>
        <w:t>.</w:t>
      </w:r>
      <w:r>
        <w:rPr>
          <w:rFonts w:ascii="Times" w:hAnsi="Times" w:cs="Open Sans"/>
          <w:color w:val="000000"/>
          <w:shd w:val="clear" w:color="auto" w:fill="FFFFFF"/>
        </w:rPr>
        <w:t xml:space="preserve"> </w:t>
      </w:r>
      <w:r w:rsidR="00E71081">
        <w:rPr>
          <w:rFonts w:ascii="Times" w:hAnsi="Times" w:cs="Open Sans"/>
          <w:color w:val="000000"/>
          <w:shd w:val="clear" w:color="auto" w:fill="FFFFFF"/>
        </w:rPr>
        <w:t>T</w:t>
      </w:r>
      <w:r>
        <w:rPr>
          <w:rFonts w:ascii="Times" w:hAnsi="Times" w:cs="Open Sans"/>
          <w:color w:val="000000"/>
          <w:shd w:val="clear" w:color="auto" w:fill="FFFFFF"/>
        </w:rPr>
        <w:t xml:space="preserve">hese </w:t>
      </w:r>
      <w:r w:rsidR="00BE1BE7">
        <w:rPr>
          <w:rFonts w:ascii="Times" w:hAnsi="Times" w:cs="Open Sans"/>
          <w:color w:val="000000"/>
          <w:shd w:val="clear" w:color="auto" w:fill="FFFFFF"/>
        </w:rPr>
        <w:t>can</w:t>
      </w:r>
      <w:r>
        <w:rPr>
          <w:rFonts w:ascii="Times" w:hAnsi="Times" w:cs="Open Sans"/>
          <w:color w:val="000000"/>
          <w:shd w:val="clear" w:color="auto" w:fill="FFFFFF"/>
        </w:rPr>
        <w:t xml:space="preserve"> be described as </w:t>
      </w:r>
      <w:r w:rsidR="006752FE">
        <w:rPr>
          <w:rFonts w:ascii="Times" w:hAnsi="Times" w:cs="Open Sans"/>
          <w:color w:val="000000"/>
          <w:shd w:val="clear" w:color="auto" w:fill="FFFFFF"/>
        </w:rPr>
        <w:t xml:space="preserve">minimum standards or </w:t>
      </w:r>
      <w:r>
        <w:rPr>
          <w:rFonts w:ascii="Times" w:hAnsi="Times" w:cs="Open Sans"/>
          <w:color w:val="000000"/>
          <w:shd w:val="clear" w:color="auto" w:fill="FFFFFF"/>
        </w:rPr>
        <w:t>proportionality considerations:</w:t>
      </w:r>
      <w:r w:rsidR="005919E2">
        <w:rPr>
          <w:rFonts w:ascii="Times" w:hAnsi="Times" w:cs="Open Sans"/>
          <w:color w:val="000000"/>
          <w:shd w:val="clear" w:color="auto" w:fill="FFFFFF"/>
        </w:rPr>
        <w:t xml:space="preserve"> whether the presumption of fact </w:t>
      </w:r>
      <w:r>
        <w:rPr>
          <w:rFonts w:ascii="Times" w:hAnsi="Times" w:cs="Open Sans"/>
          <w:color w:val="000000"/>
          <w:shd w:val="clear" w:color="auto" w:fill="FFFFFF"/>
        </w:rPr>
        <w:t xml:space="preserve">matches </w:t>
      </w:r>
      <w:r w:rsidR="00BE1BE7">
        <w:rPr>
          <w:rFonts w:ascii="Times" w:hAnsi="Times" w:cs="Open Sans"/>
          <w:color w:val="000000"/>
          <w:shd w:val="clear" w:color="auto" w:fill="FFFFFF"/>
        </w:rPr>
        <w:t xml:space="preserve">well with </w:t>
      </w:r>
      <w:r>
        <w:rPr>
          <w:rFonts w:ascii="Times" w:hAnsi="Times" w:cs="Open Sans"/>
          <w:color w:val="000000"/>
          <w:shd w:val="clear" w:color="auto" w:fill="FFFFFF"/>
        </w:rPr>
        <w:t>reality;</w:t>
      </w:r>
      <w:r w:rsidR="005919E2">
        <w:rPr>
          <w:rFonts w:ascii="Times" w:hAnsi="Times" w:cs="Open Sans"/>
          <w:color w:val="000000"/>
          <w:shd w:val="clear" w:color="auto" w:fill="FFFFFF"/>
        </w:rPr>
        <w:t xml:space="preserve"> whether </w:t>
      </w:r>
      <w:r w:rsidR="00E71081">
        <w:rPr>
          <w:rFonts w:ascii="Times" w:hAnsi="Times" w:cs="Open Sans"/>
          <w:color w:val="000000"/>
          <w:shd w:val="clear" w:color="auto" w:fill="FFFFFF"/>
        </w:rPr>
        <w:t xml:space="preserve">the legal burden </w:t>
      </w:r>
      <w:r w:rsidR="005919E2">
        <w:rPr>
          <w:rFonts w:ascii="Times" w:hAnsi="Times" w:cs="Open Sans"/>
          <w:color w:val="000000"/>
          <w:shd w:val="clear" w:color="auto" w:fill="FFFFFF"/>
        </w:rPr>
        <w:t xml:space="preserve">relates </w:t>
      </w:r>
      <w:r w:rsidR="00CC5B2D">
        <w:rPr>
          <w:rFonts w:ascii="Times" w:hAnsi="Times" w:cs="Open Sans"/>
          <w:color w:val="000000"/>
          <w:shd w:val="clear" w:color="auto" w:fill="FFFFFF"/>
        </w:rPr>
        <w:t xml:space="preserve">to </w:t>
      </w:r>
      <w:r w:rsidR="005919E2">
        <w:rPr>
          <w:rFonts w:ascii="Times" w:hAnsi="Times" w:cs="Open Sans"/>
          <w:color w:val="000000"/>
          <w:shd w:val="clear" w:color="auto" w:fill="FFFFFF"/>
        </w:rPr>
        <w:t>a</w:t>
      </w:r>
      <w:r>
        <w:rPr>
          <w:rFonts w:ascii="Times" w:hAnsi="Times" w:cs="Open Sans"/>
          <w:color w:val="000000"/>
          <w:shd w:val="clear" w:color="auto" w:fill="FFFFFF"/>
        </w:rPr>
        <w:t>n</w:t>
      </w:r>
      <w:r w:rsidR="005919E2">
        <w:rPr>
          <w:rFonts w:ascii="Times" w:hAnsi="Times" w:cs="Open Sans"/>
          <w:color w:val="000000"/>
          <w:shd w:val="clear" w:color="auto" w:fill="FFFFFF"/>
        </w:rPr>
        <w:t xml:space="preserve"> element of </w:t>
      </w:r>
      <w:r w:rsidR="00BE1BE7">
        <w:rPr>
          <w:rFonts w:ascii="Times" w:hAnsi="Times" w:cs="Open Sans"/>
          <w:color w:val="000000"/>
          <w:shd w:val="clear" w:color="auto" w:fill="FFFFFF"/>
        </w:rPr>
        <w:t>the</w:t>
      </w:r>
      <w:r w:rsidR="005919E2">
        <w:rPr>
          <w:rFonts w:ascii="Times" w:hAnsi="Times" w:cs="Open Sans"/>
          <w:color w:val="000000"/>
          <w:shd w:val="clear" w:color="auto" w:fill="FFFFFF"/>
        </w:rPr>
        <w:t xml:space="preserve"> offence</w:t>
      </w:r>
      <w:r w:rsidR="00E71081">
        <w:rPr>
          <w:rFonts w:ascii="Times" w:hAnsi="Times" w:cs="Open Sans"/>
          <w:color w:val="000000"/>
          <w:shd w:val="clear" w:color="auto" w:fill="FFFFFF"/>
        </w:rPr>
        <w:t xml:space="preserve"> or a mitigatory defence</w:t>
      </w:r>
      <w:r>
        <w:rPr>
          <w:rFonts w:ascii="Times" w:hAnsi="Times" w:cs="Open Sans"/>
          <w:color w:val="000000"/>
          <w:shd w:val="clear" w:color="auto" w:fill="FFFFFF"/>
        </w:rPr>
        <w:t>;</w:t>
      </w:r>
      <w:r w:rsidR="005919E2">
        <w:rPr>
          <w:rFonts w:ascii="Times" w:hAnsi="Times" w:cs="Open Sans"/>
          <w:color w:val="000000"/>
          <w:shd w:val="clear" w:color="auto" w:fill="FFFFFF"/>
        </w:rPr>
        <w:t xml:space="preserve"> or </w:t>
      </w:r>
      <w:r w:rsidR="007A4DBE">
        <w:rPr>
          <w:rFonts w:ascii="Times" w:hAnsi="Times" w:cs="Open Sans"/>
          <w:color w:val="000000"/>
          <w:shd w:val="clear" w:color="auto" w:fill="FFFFFF"/>
        </w:rPr>
        <w:t xml:space="preserve">relates </w:t>
      </w:r>
      <w:r>
        <w:rPr>
          <w:rFonts w:ascii="Times" w:hAnsi="Times" w:cs="Open Sans"/>
          <w:color w:val="000000"/>
          <w:shd w:val="clear" w:color="auto" w:fill="FFFFFF"/>
        </w:rPr>
        <w:t xml:space="preserve">to </w:t>
      </w:r>
      <w:r w:rsidR="005919E2">
        <w:rPr>
          <w:rFonts w:ascii="Times" w:hAnsi="Times" w:cs="Open Sans"/>
          <w:color w:val="000000"/>
          <w:shd w:val="clear" w:color="auto" w:fill="FFFFFF"/>
        </w:rPr>
        <w:t>a fact peculiarly within the knowledge of the accused</w:t>
      </w:r>
      <w:r w:rsidR="00BE1BE7">
        <w:rPr>
          <w:rFonts w:ascii="Times" w:hAnsi="Times" w:cs="Open Sans"/>
          <w:color w:val="000000"/>
          <w:shd w:val="clear" w:color="auto" w:fill="FFFFFF"/>
        </w:rPr>
        <w:t>.</w:t>
      </w:r>
      <w:r w:rsidR="0096610B">
        <w:rPr>
          <w:rFonts w:ascii="Times" w:hAnsi="Times" w:cs="Open Sans"/>
          <w:color w:val="000000"/>
          <w:shd w:val="clear" w:color="auto" w:fill="FFFFFF"/>
        </w:rPr>
        <w:t xml:space="preserve"> </w:t>
      </w:r>
      <w:r w:rsidR="007A4DBE">
        <w:rPr>
          <w:rFonts w:ascii="Times" w:hAnsi="Times" w:cs="Open Sans"/>
          <w:color w:val="000000"/>
          <w:shd w:val="clear" w:color="auto" w:fill="FFFFFF"/>
        </w:rPr>
        <w:t>These are all issues of law</w:t>
      </w:r>
      <w:r w:rsidR="00E71081">
        <w:rPr>
          <w:rFonts w:ascii="Times" w:hAnsi="Times" w:cs="Open Sans"/>
          <w:color w:val="000000"/>
          <w:shd w:val="clear" w:color="auto" w:fill="FFFFFF"/>
        </w:rPr>
        <w:t>,</w:t>
      </w:r>
      <w:r w:rsidR="007A4DBE">
        <w:rPr>
          <w:rFonts w:ascii="Times" w:hAnsi="Times" w:cs="Open Sans"/>
          <w:color w:val="000000"/>
          <w:shd w:val="clear" w:color="auto" w:fill="FFFFFF"/>
        </w:rPr>
        <w:t xml:space="preserve"> which </w:t>
      </w:r>
      <w:r w:rsidR="00E71081">
        <w:rPr>
          <w:rFonts w:ascii="Times" w:hAnsi="Times" w:cs="Open Sans"/>
          <w:color w:val="000000"/>
          <w:shd w:val="clear" w:color="auto" w:fill="FFFFFF"/>
        </w:rPr>
        <w:t>will not ordinarily</w:t>
      </w:r>
      <w:r w:rsidR="007A4DBE">
        <w:rPr>
          <w:rFonts w:ascii="Times" w:hAnsi="Times" w:cs="Open Sans"/>
          <w:color w:val="000000"/>
          <w:shd w:val="clear" w:color="auto" w:fill="FFFFFF"/>
        </w:rPr>
        <w:t xml:space="preserve"> </w:t>
      </w:r>
      <w:r w:rsidR="00E71081">
        <w:rPr>
          <w:rFonts w:ascii="Times" w:hAnsi="Times" w:cs="Open Sans"/>
          <w:color w:val="000000"/>
          <w:shd w:val="clear" w:color="auto" w:fill="FFFFFF"/>
        </w:rPr>
        <w:t xml:space="preserve">require </w:t>
      </w:r>
      <w:r w:rsidR="007A4DBE">
        <w:rPr>
          <w:rFonts w:ascii="Times" w:hAnsi="Times" w:cs="Open Sans"/>
          <w:color w:val="000000"/>
          <w:shd w:val="clear" w:color="auto" w:fill="FFFFFF"/>
        </w:rPr>
        <w:t>evidence.</w:t>
      </w:r>
    </w:p>
    <w:p w14:paraId="4C38D724" w14:textId="77777777" w:rsidR="002F21F1" w:rsidRPr="00335BBC" w:rsidRDefault="002F21F1" w:rsidP="00335BBC">
      <w:pPr>
        <w:pStyle w:val="ListParagraph"/>
        <w:spacing w:line="360" w:lineRule="auto"/>
        <w:rPr>
          <w:rFonts w:ascii="Times" w:hAnsi="Times" w:cs="Open Sans"/>
          <w:color w:val="000000" w:themeColor="text1"/>
        </w:rPr>
      </w:pPr>
    </w:p>
    <w:p w14:paraId="436D1E86" w14:textId="0362BA7F" w:rsidR="002F21F1" w:rsidRDefault="002F21F1"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 xml:space="preserve">In </w:t>
      </w:r>
      <w:r w:rsidRPr="00335BBC">
        <w:rPr>
          <w:rFonts w:ascii="Times" w:hAnsi="Times" w:cs="Open Sans"/>
          <w:i/>
          <w:iCs/>
          <w:color w:val="000000" w:themeColor="text1"/>
        </w:rPr>
        <w:t>Donnelly v Minister for Social Protection &amp; Ors</w:t>
      </w:r>
      <w:r w:rsidR="0093222F">
        <w:rPr>
          <w:rStyle w:val="FootnoteReference"/>
          <w:rFonts w:ascii="Times" w:hAnsi="Times" w:cs="Open Sans"/>
          <w:i/>
          <w:iCs/>
          <w:color w:val="000000" w:themeColor="text1"/>
        </w:rPr>
        <w:footnoteReference w:id="65"/>
      </w:r>
      <w:r>
        <w:rPr>
          <w:rFonts w:ascii="Times" w:hAnsi="Times" w:cs="Open Sans"/>
          <w:color w:val="000000" w:themeColor="text1"/>
        </w:rPr>
        <w:t xml:space="preserve">, O’Malley J referred to the Canadian case of </w:t>
      </w:r>
      <w:r w:rsidRPr="00335BBC">
        <w:rPr>
          <w:rFonts w:ascii="Times" w:hAnsi="Times" w:cs="Open Sans"/>
          <w:i/>
          <w:iCs/>
          <w:color w:val="000000" w:themeColor="text1"/>
        </w:rPr>
        <w:t>Oakes</w:t>
      </w:r>
      <w:r>
        <w:rPr>
          <w:rFonts w:ascii="Times" w:hAnsi="Times" w:cs="Open Sans"/>
          <w:color w:val="000000" w:themeColor="text1"/>
        </w:rPr>
        <w:t xml:space="preserve">, where </w:t>
      </w:r>
      <w:r w:rsidR="00D35C74">
        <w:rPr>
          <w:rFonts w:ascii="Times" w:hAnsi="Times" w:cs="Open Sans"/>
          <w:color w:val="000000" w:themeColor="text1"/>
        </w:rPr>
        <w:t xml:space="preserve">various national reports and international instruments </w:t>
      </w:r>
      <w:r w:rsidR="00C542C1">
        <w:rPr>
          <w:rFonts w:ascii="Times" w:hAnsi="Times" w:cs="Open Sans"/>
          <w:color w:val="000000" w:themeColor="text1"/>
        </w:rPr>
        <w:t xml:space="preserve">were </w:t>
      </w:r>
      <w:r w:rsidR="00D35C74">
        <w:rPr>
          <w:rFonts w:ascii="Times" w:hAnsi="Times" w:cs="Open Sans"/>
          <w:color w:val="000000" w:themeColor="text1"/>
        </w:rPr>
        <w:t xml:space="preserve">relied on by the </w:t>
      </w:r>
      <w:r w:rsidR="00C542C1">
        <w:rPr>
          <w:rFonts w:ascii="Times" w:hAnsi="Times" w:cs="Open Sans"/>
          <w:color w:val="000000" w:themeColor="text1"/>
        </w:rPr>
        <w:t xml:space="preserve">Canadian Supreme </w:t>
      </w:r>
      <w:r w:rsidR="00D35C74">
        <w:rPr>
          <w:rFonts w:ascii="Times" w:hAnsi="Times" w:cs="Open Sans"/>
          <w:color w:val="000000" w:themeColor="text1"/>
        </w:rPr>
        <w:t xml:space="preserve">Court when assessing </w:t>
      </w:r>
      <w:r w:rsidR="00C542C1">
        <w:rPr>
          <w:rFonts w:ascii="Times" w:hAnsi="Times" w:cs="Open Sans"/>
          <w:color w:val="000000" w:themeColor="text1"/>
        </w:rPr>
        <w:t>the va</w:t>
      </w:r>
      <w:r w:rsidR="002A423E">
        <w:rPr>
          <w:rFonts w:ascii="Times" w:hAnsi="Times" w:cs="Open Sans"/>
          <w:color w:val="000000" w:themeColor="text1"/>
        </w:rPr>
        <w:t>l</w:t>
      </w:r>
      <w:r w:rsidR="00C542C1">
        <w:rPr>
          <w:rFonts w:ascii="Times" w:hAnsi="Times" w:cs="Open Sans"/>
          <w:color w:val="000000" w:themeColor="text1"/>
        </w:rPr>
        <w:t>idity of the legislation</w:t>
      </w:r>
      <w:r w:rsidR="00D35C74">
        <w:rPr>
          <w:rFonts w:ascii="Times" w:hAnsi="Times" w:cs="Open Sans"/>
          <w:color w:val="000000" w:themeColor="text1"/>
        </w:rPr>
        <w:t xml:space="preserve">. She continued </w:t>
      </w:r>
      <w:r>
        <w:rPr>
          <w:rFonts w:ascii="Times" w:hAnsi="Times" w:cs="Open Sans"/>
          <w:color w:val="000000" w:themeColor="text1"/>
        </w:rPr>
        <w:t>as follows:</w:t>
      </w:r>
    </w:p>
    <w:p w14:paraId="6E6603A8" w14:textId="77777777" w:rsidR="002F21F1" w:rsidRPr="00335BBC" w:rsidRDefault="002F21F1" w:rsidP="00335BBC">
      <w:pPr>
        <w:pStyle w:val="ListParagraph"/>
        <w:spacing w:line="360" w:lineRule="auto"/>
        <w:rPr>
          <w:rFonts w:ascii="Times" w:hAnsi="Times" w:cs="Open Sans"/>
          <w:color w:val="000000" w:themeColor="text1"/>
        </w:rPr>
      </w:pPr>
    </w:p>
    <w:p w14:paraId="7C00C00C" w14:textId="5FF25F9B" w:rsidR="00306539" w:rsidRPr="00335BBC" w:rsidRDefault="002F21F1" w:rsidP="00335BBC">
      <w:pPr>
        <w:pStyle w:val="ListParagraph"/>
        <w:shd w:val="clear" w:color="auto" w:fill="FFFFFF"/>
        <w:spacing w:after="240" w:line="360" w:lineRule="auto"/>
        <w:jc w:val="both"/>
        <w:rPr>
          <w:rFonts w:ascii="Times" w:hAnsi="Times" w:cs="Open Sans"/>
          <w:i/>
          <w:iCs/>
          <w:color w:val="000000" w:themeColor="text1"/>
        </w:rPr>
      </w:pPr>
      <w:r w:rsidRPr="00335BBC">
        <w:rPr>
          <w:rStyle w:val="user-highlighted-active"/>
          <w:rFonts w:ascii="Times" w:hAnsi="Times"/>
          <w:i/>
          <w:iCs/>
          <w:color w:val="000000" w:themeColor="text1"/>
          <w:shd w:val="clear" w:color="auto" w:fill="FFFFFF"/>
        </w:rPr>
        <w:t>There may</w:t>
      </w:r>
      <w:r>
        <w:rPr>
          <w:rStyle w:val="user-highlighted-active"/>
          <w:rFonts w:ascii="Times" w:hAnsi="Times"/>
          <w:i/>
          <w:iCs/>
          <w:color w:val="000000" w:themeColor="text1"/>
          <w:shd w:val="clear" w:color="auto" w:fill="FFFFFF"/>
        </w:rPr>
        <w:t>…</w:t>
      </w:r>
      <w:r w:rsidRPr="00335BBC">
        <w:rPr>
          <w:rStyle w:val="user-highlighted-active"/>
          <w:rFonts w:ascii="Times" w:hAnsi="Times"/>
          <w:i/>
          <w:iCs/>
          <w:color w:val="000000" w:themeColor="text1"/>
          <w:shd w:val="clear" w:color="auto" w:fill="FFFFFF"/>
        </w:rPr>
        <w:t xml:space="preserve"> be many cases where it is possible to conduct the argument largely on the basis of the terms of the statute without the need for evidence going beyond the effect of the measure on the interests of the plaintiff. As it happens, the courts in this jurisdiction have dealt with the proper application of evidential presumptions and reverse onuses in cases very similar to Oakes. Although this has been considered in the context of appeals against criminal convictions (see, e.g., DPP v. Smyth </w:t>
      </w:r>
      <w:hyperlink r:id="rId11" w:history="1">
        <w:r w:rsidRPr="00335BBC">
          <w:rPr>
            <w:rStyle w:val="user-highlighted-active"/>
            <w:rFonts w:ascii="Times" w:hAnsi="Times"/>
            <w:i/>
            <w:iCs/>
            <w:color w:val="000000" w:themeColor="text1"/>
            <w:shd w:val="clear" w:color="auto" w:fill="F8F9FA"/>
          </w:rPr>
          <w:t>[2010] 3 I.R. 688</w:t>
        </w:r>
      </w:hyperlink>
      <w:r w:rsidRPr="00335BBC">
        <w:rPr>
          <w:rStyle w:val="user-highlighted-active"/>
          <w:rFonts w:ascii="Times" w:hAnsi="Times"/>
          <w:i/>
          <w:iCs/>
          <w:color w:val="000000" w:themeColor="text1"/>
          <w:shd w:val="clear" w:color="auto" w:fill="FFFFFF"/>
        </w:rPr>
        <w:t> and DPP v Heffernan </w:t>
      </w:r>
      <w:hyperlink r:id="rId12" w:history="1">
        <w:r w:rsidRPr="00335BBC">
          <w:rPr>
            <w:rStyle w:val="user-highlighted-active"/>
            <w:rFonts w:ascii="Times" w:hAnsi="Times"/>
            <w:i/>
            <w:iCs/>
            <w:color w:val="000000" w:themeColor="text1"/>
            <w:shd w:val="clear" w:color="auto" w:fill="F8F9FA"/>
          </w:rPr>
          <w:t>[2017] 1 I.R. 82</w:t>
        </w:r>
      </w:hyperlink>
      <w:r w:rsidRPr="00335BBC">
        <w:rPr>
          <w:rStyle w:val="user-highlighted-active"/>
          <w:rFonts w:ascii="Times" w:hAnsi="Times"/>
          <w:i/>
          <w:iCs/>
          <w:color w:val="000000" w:themeColor="text1"/>
          <w:shd w:val="clear" w:color="auto" w:fill="FFFFFF"/>
        </w:rPr>
        <w:t>), the issues could also have been dealt with in a challenge to the constitutionality of the legislation. Had that path been taken, it is entirely conceivable that the litigation would have focussed on the terms of the provision and on legal argument, with, perhaps, very little evidence being required by either party.</w:t>
      </w:r>
      <w:r>
        <w:rPr>
          <w:rStyle w:val="user-highlighted-active"/>
          <w:rFonts w:ascii="Times" w:hAnsi="Times"/>
          <w:i/>
          <w:iCs/>
          <w:color w:val="000000" w:themeColor="text1"/>
          <w:shd w:val="clear" w:color="auto" w:fill="FFFFFF"/>
        </w:rPr>
        <w:t>’</w:t>
      </w:r>
    </w:p>
    <w:p w14:paraId="0245999F" w14:textId="77777777" w:rsidR="007A4DBE" w:rsidRPr="00832E2C" w:rsidRDefault="007A4DBE" w:rsidP="00335BBC">
      <w:pPr>
        <w:pStyle w:val="ListParagraph"/>
        <w:shd w:val="clear" w:color="auto" w:fill="FFFFFF"/>
        <w:spacing w:after="240" w:line="360" w:lineRule="auto"/>
        <w:jc w:val="both"/>
      </w:pPr>
    </w:p>
    <w:p w14:paraId="39CC281F" w14:textId="43B555D4" w:rsidR="0073536C" w:rsidRPr="00335BBC" w:rsidRDefault="007A4DBE"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themeColor="text1"/>
        </w:rPr>
        <w:t>In the context of this appeal, Oireachtas Committee reports have been put before the Court. The Commission does not suggest that these reports are of no value to the Court’s assessment.</w:t>
      </w:r>
      <w:r w:rsidR="00C542C1">
        <w:rPr>
          <w:rFonts w:ascii="Times" w:hAnsi="Times" w:cs="Open Sans"/>
          <w:color w:val="000000" w:themeColor="text1"/>
        </w:rPr>
        <w:t xml:space="preserve"> </w:t>
      </w:r>
      <w:r w:rsidR="00897FA6">
        <w:rPr>
          <w:rFonts w:ascii="Times" w:hAnsi="Times" w:cs="Open Sans"/>
          <w:color w:val="000000" w:themeColor="text1"/>
        </w:rPr>
        <w:t xml:space="preserve">For the purposes </w:t>
      </w:r>
      <w:r w:rsidR="00C542C1">
        <w:rPr>
          <w:rFonts w:ascii="Times" w:hAnsi="Times" w:cs="Open Sans"/>
          <w:color w:val="000000" w:themeColor="text1"/>
        </w:rPr>
        <w:t>of statutory interpretation, this Court has on occasion</w:t>
      </w:r>
      <w:r w:rsidR="002A423E">
        <w:rPr>
          <w:rStyle w:val="FootnoteReference"/>
          <w:rFonts w:ascii="Times" w:hAnsi="Times" w:cs="Open Sans"/>
          <w:color w:val="000000" w:themeColor="text1"/>
        </w:rPr>
        <w:footnoteReference w:id="66"/>
      </w:r>
      <w:r w:rsidR="00C542C1">
        <w:rPr>
          <w:rFonts w:ascii="Times" w:hAnsi="Times" w:cs="Open Sans"/>
          <w:color w:val="000000" w:themeColor="text1"/>
        </w:rPr>
        <w:t xml:space="preserve"> had </w:t>
      </w:r>
      <w:r w:rsidR="00C542C1">
        <w:rPr>
          <w:rFonts w:ascii="Times" w:hAnsi="Times" w:cs="Open Sans"/>
          <w:color w:val="000000" w:themeColor="text1"/>
        </w:rPr>
        <w:lastRenderedPageBreak/>
        <w:t>regard to the content of reports which were the impetus for the enactment of legislation. That issue does not arise here, but the reports considered in the Court below</w:t>
      </w:r>
      <w:r>
        <w:rPr>
          <w:rFonts w:ascii="Times" w:hAnsi="Times" w:cs="Open Sans"/>
          <w:color w:val="000000" w:themeColor="text1"/>
        </w:rPr>
        <w:t xml:space="preserve"> </w:t>
      </w:r>
      <w:r w:rsidR="00C542C1">
        <w:rPr>
          <w:rFonts w:ascii="Times" w:hAnsi="Times" w:cs="Open Sans"/>
          <w:color w:val="000000" w:themeColor="text1"/>
        </w:rPr>
        <w:t xml:space="preserve">may </w:t>
      </w:r>
      <w:r>
        <w:rPr>
          <w:rFonts w:ascii="Times" w:hAnsi="Times" w:cs="Open Sans"/>
          <w:color w:val="000000" w:themeColor="text1"/>
        </w:rPr>
        <w:t xml:space="preserve">be instructive in respect of </w:t>
      </w:r>
      <w:r>
        <w:rPr>
          <w:rFonts w:ascii="Times" w:hAnsi="Times" w:cs="Open Sans"/>
          <w:color w:val="000000"/>
          <w:shd w:val="clear" w:color="auto" w:fill="FFFFFF"/>
        </w:rPr>
        <w:t xml:space="preserve">the concerns motivating the enactment of </w:t>
      </w:r>
      <w:r w:rsidR="0073536C">
        <w:rPr>
          <w:rFonts w:ascii="Times" w:hAnsi="Times" w:cs="Open Sans"/>
          <w:color w:val="000000"/>
          <w:shd w:val="clear" w:color="auto" w:fill="FFFFFF"/>
        </w:rPr>
        <w:t xml:space="preserve">the </w:t>
      </w:r>
      <w:r>
        <w:rPr>
          <w:rFonts w:ascii="Times" w:hAnsi="Times" w:cs="Open Sans"/>
          <w:color w:val="000000"/>
          <w:shd w:val="clear" w:color="auto" w:fill="FFFFFF"/>
        </w:rPr>
        <w:t>legislation</w:t>
      </w:r>
      <w:r w:rsidR="0063178F">
        <w:rPr>
          <w:rFonts w:ascii="Times" w:hAnsi="Times" w:cs="Open Sans"/>
          <w:color w:val="000000"/>
          <w:shd w:val="clear" w:color="auto" w:fill="FFFFFF"/>
        </w:rPr>
        <w:t>.</w:t>
      </w:r>
      <w:r>
        <w:rPr>
          <w:rFonts w:ascii="Times" w:hAnsi="Times" w:cs="Open Sans"/>
          <w:color w:val="000000"/>
          <w:shd w:val="clear" w:color="auto" w:fill="FFFFFF"/>
        </w:rPr>
        <w:t xml:space="preserve"> </w:t>
      </w:r>
    </w:p>
    <w:p w14:paraId="339AE939" w14:textId="77777777" w:rsidR="0073536C" w:rsidRPr="00335BBC" w:rsidRDefault="0073536C" w:rsidP="00335BBC">
      <w:pPr>
        <w:pStyle w:val="ListParagraph"/>
        <w:shd w:val="clear" w:color="auto" w:fill="FFFFFF"/>
        <w:spacing w:after="240" w:line="360" w:lineRule="auto"/>
        <w:ind w:left="360"/>
        <w:jc w:val="both"/>
        <w:rPr>
          <w:rFonts w:ascii="Times" w:hAnsi="Times" w:cs="Open Sans"/>
          <w:color w:val="000000" w:themeColor="text1"/>
        </w:rPr>
      </w:pPr>
    </w:p>
    <w:p w14:paraId="4323102D" w14:textId="7D6C25F5" w:rsidR="007A4DBE" w:rsidRPr="00335BBC" w:rsidRDefault="002A423E" w:rsidP="00335BBC">
      <w:pPr>
        <w:pStyle w:val="ListParagraph"/>
        <w:numPr>
          <w:ilvl w:val="0"/>
          <w:numId w:val="2"/>
        </w:numPr>
        <w:shd w:val="clear" w:color="auto" w:fill="FFFFFF"/>
        <w:spacing w:after="240" w:line="360" w:lineRule="auto"/>
        <w:jc w:val="both"/>
        <w:rPr>
          <w:rFonts w:ascii="Times" w:hAnsi="Times" w:cs="Open Sans"/>
          <w:color w:val="000000" w:themeColor="text1"/>
        </w:rPr>
      </w:pPr>
      <w:r>
        <w:rPr>
          <w:rFonts w:ascii="Times" w:hAnsi="Times" w:cs="Open Sans"/>
          <w:color w:val="000000"/>
          <w:shd w:val="clear" w:color="auto" w:fill="FFFFFF"/>
        </w:rPr>
        <w:t>The issue w</w:t>
      </w:r>
      <w:r w:rsidR="0073536C" w:rsidRPr="007A4DBE">
        <w:rPr>
          <w:rFonts w:ascii="Times" w:hAnsi="Times" w:cs="Open Sans"/>
          <w:color w:val="000000"/>
          <w:shd w:val="clear" w:color="auto" w:fill="FFFFFF"/>
        </w:rPr>
        <w:t xml:space="preserve">hether the imposition of a legal burden </w:t>
      </w:r>
      <w:r w:rsidR="0073536C">
        <w:rPr>
          <w:rFonts w:ascii="Times" w:hAnsi="Times" w:cs="Open Sans"/>
          <w:color w:val="000000"/>
          <w:shd w:val="clear" w:color="auto" w:fill="FFFFFF"/>
        </w:rPr>
        <w:t xml:space="preserve">on an accused </w:t>
      </w:r>
      <w:r w:rsidR="0073536C" w:rsidRPr="007A4DBE">
        <w:rPr>
          <w:rFonts w:ascii="Times" w:hAnsi="Times" w:cs="Open Sans"/>
          <w:color w:val="000000"/>
          <w:shd w:val="clear" w:color="auto" w:fill="FFFFFF"/>
        </w:rPr>
        <w:t xml:space="preserve">is necessary in order to avoid the </w:t>
      </w:r>
      <w:r w:rsidR="0073536C">
        <w:rPr>
          <w:rFonts w:ascii="Times" w:hAnsi="Times" w:cs="Open Sans"/>
          <w:color w:val="000000"/>
          <w:shd w:val="clear" w:color="auto" w:fill="FFFFFF"/>
        </w:rPr>
        <w:t>prosecution burden</w:t>
      </w:r>
      <w:r w:rsidR="0073536C" w:rsidRPr="007A4DBE">
        <w:rPr>
          <w:rFonts w:ascii="Times" w:hAnsi="Times" w:cs="Open Sans"/>
          <w:color w:val="000000"/>
          <w:shd w:val="clear" w:color="auto" w:fill="FFFFFF"/>
        </w:rPr>
        <w:t xml:space="preserve"> being rendered </w:t>
      </w:r>
      <w:r w:rsidR="0073536C">
        <w:rPr>
          <w:rFonts w:ascii="Times" w:hAnsi="Times" w:cs="Open Sans"/>
          <w:color w:val="000000"/>
          <w:shd w:val="clear" w:color="auto" w:fill="FFFFFF"/>
        </w:rPr>
        <w:t>unworkable</w:t>
      </w:r>
      <w:r w:rsidR="0073536C" w:rsidRPr="007A4DBE">
        <w:rPr>
          <w:rFonts w:ascii="Times" w:hAnsi="Times" w:cs="Open Sans"/>
          <w:color w:val="000000"/>
          <w:shd w:val="clear" w:color="auto" w:fill="FFFFFF"/>
        </w:rPr>
        <w:t xml:space="preserve"> is </w:t>
      </w:r>
      <w:r>
        <w:rPr>
          <w:rFonts w:ascii="Times" w:hAnsi="Times" w:cs="Open Sans"/>
          <w:color w:val="000000"/>
          <w:shd w:val="clear" w:color="auto" w:fill="FFFFFF"/>
        </w:rPr>
        <w:t>one</w:t>
      </w:r>
      <w:r w:rsidR="0073536C" w:rsidRPr="007A4DBE">
        <w:rPr>
          <w:rFonts w:ascii="Times" w:hAnsi="Times" w:cs="Open Sans"/>
          <w:color w:val="000000"/>
          <w:shd w:val="clear" w:color="auto" w:fill="FFFFFF"/>
        </w:rPr>
        <w:t xml:space="preserve"> which a </w:t>
      </w:r>
      <w:r w:rsidR="0073536C">
        <w:rPr>
          <w:rFonts w:ascii="Times" w:hAnsi="Times" w:cs="Open Sans"/>
          <w:color w:val="000000"/>
          <w:shd w:val="clear" w:color="auto" w:fill="FFFFFF"/>
        </w:rPr>
        <w:t>c</w:t>
      </w:r>
      <w:r w:rsidR="0073536C" w:rsidRPr="007A4DBE">
        <w:rPr>
          <w:rFonts w:ascii="Times" w:hAnsi="Times" w:cs="Open Sans"/>
          <w:color w:val="000000"/>
          <w:shd w:val="clear" w:color="auto" w:fill="FFFFFF"/>
        </w:rPr>
        <w:t>ourt could potentially assess without recourse to evidence</w:t>
      </w:r>
      <w:r w:rsidR="0073536C">
        <w:rPr>
          <w:rFonts w:ascii="Times" w:hAnsi="Times" w:cs="Open Sans"/>
          <w:color w:val="000000"/>
          <w:shd w:val="clear" w:color="auto" w:fill="FFFFFF"/>
        </w:rPr>
        <w:t>.</w:t>
      </w:r>
      <w:r w:rsidR="0073536C" w:rsidRPr="007A4DBE">
        <w:rPr>
          <w:rFonts w:ascii="Times" w:hAnsi="Times" w:cs="Open Sans"/>
          <w:color w:val="000000"/>
          <w:shd w:val="clear" w:color="auto" w:fill="FFFFFF"/>
        </w:rPr>
        <w:t xml:space="preserve"> </w:t>
      </w:r>
      <w:r w:rsidR="0073536C">
        <w:rPr>
          <w:rFonts w:ascii="Times" w:hAnsi="Times" w:cs="Open Sans"/>
          <w:color w:val="000000"/>
          <w:shd w:val="clear" w:color="auto" w:fill="FFFFFF"/>
        </w:rPr>
        <w:t xml:space="preserve">But </w:t>
      </w:r>
      <w:r w:rsidR="0073536C" w:rsidRPr="007A4DBE">
        <w:rPr>
          <w:rFonts w:ascii="Times" w:hAnsi="Times" w:cs="Open Sans"/>
          <w:color w:val="000000"/>
          <w:shd w:val="clear" w:color="auto" w:fill="FFFFFF"/>
        </w:rPr>
        <w:t>if evidence either for or against th</w:t>
      </w:r>
      <w:r w:rsidR="0073536C">
        <w:rPr>
          <w:rFonts w:ascii="Times" w:hAnsi="Times" w:cs="Open Sans"/>
          <w:color w:val="000000"/>
          <w:shd w:val="clear" w:color="auto" w:fill="FFFFFF"/>
        </w:rPr>
        <w:t>e</w:t>
      </w:r>
      <w:r w:rsidR="0073536C" w:rsidRPr="007A4DBE">
        <w:rPr>
          <w:rFonts w:ascii="Times" w:hAnsi="Times" w:cs="Open Sans"/>
          <w:color w:val="000000"/>
          <w:shd w:val="clear" w:color="auto" w:fill="FFFFFF"/>
        </w:rPr>
        <w:t xml:space="preserve"> proposition </w:t>
      </w:r>
      <w:r w:rsidR="0073536C">
        <w:rPr>
          <w:rFonts w:ascii="Times" w:hAnsi="Times" w:cs="Open Sans"/>
          <w:color w:val="000000"/>
          <w:shd w:val="clear" w:color="auto" w:fill="FFFFFF"/>
        </w:rPr>
        <w:t xml:space="preserve">is </w:t>
      </w:r>
      <w:r w:rsidR="0073536C" w:rsidRPr="007A4DBE">
        <w:rPr>
          <w:rFonts w:ascii="Times" w:hAnsi="Times" w:cs="Open Sans"/>
          <w:color w:val="000000"/>
          <w:shd w:val="clear" w:color="auto" w:fill="FFFFFF"/>
        </w:rPr>
        <w:t xml:space="preserve">put before </w:t>
      </w:r>
      <w:r w:rsidR="0073536C">
        <w:rPr>
          <w:rFonts w:ascii="Times" w:hAnsi="Times" w:cs="Open Sans"/>
          <w:color w:val="000000"/>
          <w:shd w:val="clear" w:color="auto" w:fill="FFFFFF"/>
        </w:rPr>
        <w:t>a</w:t>
      </w:r>
      <w:r w:rsidR="0073536C" w:rsidRPr="007A4DBE">
        <w:rPr>
          <w:rFonts w:ascii="Times" w:hAnsi="Times" w:cs="Open Sans"/>
          <w:color w:val="000000"/>
          <w:shd w:val="clear" w:color="auto" w:fill="FFFFFF"/>
        </w:rPr>
        <w:t xml:space="preserve"> </w:t>
      </w:r>
      <w:r w:rsidR="0073536C">
        <w:rPr>
          <w:rFonts w:ascii="Times" w:hAnsi="Times" w:cs="Open Sans"/>
          <w:color w:val="000000"/>
          <w:shd w:val="clear" w:color="auto" w:fill="FFFFFF"/>
        </w:rPr>
        <w:t>c</w:t>
      </w:r>
      <w:r w:rsidR="0073536C" w:rsidRPr="007A4DBE">
        <w:rPr>
          <w:rFonts w:ascii="Times" w:hAnsi="Times" w:cs="Open Sans"/>
          <w:color w:val="000000"/>
          <w:shd w:val="clear" w:color="auto" w:fill="FFFFFF"/>
        </w:rPr>
        <w:t xml:space="preserve">ourt, then </w:t>
      </w:r>
      <w:r w:rsidR="0073536C">
        <w:rPr>
          <w:rFonts w:ascii="Times" w:hAnsi="Times" w:cs="Open Sans"/>
          <w:color w:val="000000"/>
          <w:shd w:val="clear" w:color="auto" w:fill="FFFFFF"/>
        </w:rPr>
        <w:t>the</w:t>
      </w:r>
      <w:r w:rsidR="0073536C" w:rsidRPr="007A4DBE">
        <w:rPr>
          <w:rFonts w:ascii="Times" w:hAnsi="Times" w:cs="Open Sans"/>
          <w:color w:val="000000"/>
          <w:shd w:val="clear" w:color="auto" w:fill="FFFFFF"/>
        </w:rPr>
        <w:t xml:space="preserve"> </w:t>
      </w:r>
      <w:r w:rsidR="0073536C">
        <w:rPr>
          <w:rFonts w:ascii="Times" w:hAnsi="Times" w:cs="Open Sans"/>
          <w:color w:val="000000"/>
          <w:shd w:val="clear" w:color="auto" w:fill="FFFFFF"/>
        </w:rPr>
        <w:t>c</w:t>
      </w:r>
      <w:r w:rsidR="0073536C" w:rsidRPr="007A4DBE">
        <w:rPr>
          <w:rFonts w:ascii="Times" w:hAnsi="Times" w:cs="Open Sans"/>
          <w:color w:val="000000"/>
          <w:shd w:val="clear" w:color="auto" w:fill="FFFFFF"/>
        </w:rPr>
        <w:t xml:space="preserve">ourt </w:t>
      </w:r>
      <w:r w:rsidR="006752FE">
        <w:rPr>
          <w:rFonts w:ascii="Times" w:hAnsi="Times" w:cs="Open Sans"/>
          <w:color w:val="000000"/>
          <w:shd w:val="clear" w:color="auto" w:fill="FFFFFF"/>
        </w:rPr>
        <w:t xml:space="preserve">can and </w:t>
      </w:r>
      <w:r w:rsidR="0073536C">
        <w:rPr>
          <w:rFonts w:ascii="Times" w:hAnsi="Times" w:cs="Open Sans"/>
          <w:color w:val="000000"/>
          <w:shd w:val="clear" w:color="auto" w:fill="FFFFFF"/>
        </w:rPr>
        <w:t>ought to</w:t>
      </w:r>
      <w:r w:rsidR="0073536C" w:rsidRPr="007A4DBE">
        <w:rPr>
          <w:rFonts w:ascii="Times" w:hAnsi="Times" w:cs="Open Sans"/>
          <w:color w:val="000000"/>
          <w:shd w:val="clear" w:color="auto" w:fill="FFFFFF"/>
        </w:rPr>
        <w:t xml:space="preserve"> have regard to it.</w:t>
      </w:r>
      <w:r w:rsidR="0073536C">
        <w:rPr>
          <w:rFonts w:ascii="Times" w:hAnsi="Times" w:cs="Open Sans"/>
          <w:color w:val="000000"/>
          <w:shd w:val="clear" w:color="auto" w:fill="FFFFFF"/>
        </w:rPr>
        <w:t xml:space="preserve"> </w:t>
      </w:r>
    </w:p>
    <w:p w14:paraId="276AFDC3" w14:textId="77777777" w:rsidR="00D20785" w:rsidRPr="007A4DBE" w:rsidRDefault="00D20785" w:rsidP="00335BBC">
      <w:pPr>
        <w:pStyle w:val="ListParagraph"/>
        <w:shd w:val="clear" w:color="auto" w:fill="FFFFFF"/>
        <w:spacing w:after="240" w:line="360" w:lineRule="auto"/>
        <w:ind w:left="360"/>
        <w:jc w:val="both"/>
        <w:rPr>
          <w:rFonts w:ascii="Times" w:hAnsi="Times" w:cs="Open Sans"/>
          <w:color w:val="000000" w:themeColor="text1"/>
        </w:rPr>
      </w:pPr>
    </w:p>
    <w:p w14:paraId="1F109A54" w14:textId="5313A424" w:rsidR="0092464C" w:rsidRDefault="00D20785" w:rsidP="00335BBC">
      <w:pPr>
        <w:pStyle w:val="ListParagraph"/>
        <w:numPr>
          <w:ilvl w:val="0"/>
          <w:numId w:val="2"/>
        </w:numPr>
        <w:shd w:val="clear" w:color="auto" w:fill="FFFFFF"/>
        <w:spacing w:line="360" w:lineRule="auto"/>
        <w:jc w:val="both"/>
        <w:rPr>
          <w:rFonts w:ascii="Times" w:hAnsi="Times" w:cs="Open Sans"/>
          <w:color w:val="000000" w:themeColor="text1"/>
        </w:rPr>
      </w:pPr>
      <w:r w:rsidRPr="00D20785">
        <w:rPr>
          <w:rFonts w:ascii="Times" w:hAnsi="Times" w:cs="Open Sans"/>
          <w:color w:val="000000" w:themeColor="text1"/>
        </w:rPr>
        <w:t>A</w:t>
      </w:r>
      <w:r w:rsidR="007A4DBE">
        <w:rPr>
          <w:rFonts w:ascii="Times" w:hAnsi="Times" w:cs="Open Sans"/>
          <w:color w:val="000000" w:themeColor="text1"/>
        </w:rPr>
        <w:t xml:space="preserve">cademic commentary, such as </w:t>
      </w:r>
      <w:r w:rsidRPr="00CC5B2D">
        <w:rPr>
          <w:rFonts w:ascii="Times" w:hAnsi="Times" w:cs="Open Sans"/>
          <w:i/>
          <w:iCs/>
          <w:color w:val="000000" w:themeColor="text1"/>
        </w:rPr>
        <w:t xml:space="preserve">Kelly, </w:t>
      </w:r>
      <w:r w:rsidR="002A423E">
        <w:rPr>
          <w:rFonts w:ascii="Times" w:hAnsi="Times" w:cs="Open Sans"/>
          <w:i/>
          <w:iCs/>
          <w:color w:val="000000" w:themeColor="text1"/>
        </w:rPr>
        <w:t>T</w:t>
      </w:r>
      <w:r w:rsidRPr="00CC5B2D">
        <w:rPr>
          <w:rFonts w:ascii="Times" w:hAnsi="Times" w:cs="Open Sans"/>
          <w:i/>
          <w:iCs/>
          <w:color w:val="000000" w:themeColor="text1"/>
        </w:rPr>
        <w:t xml:space="preserve">he </w:t>
      </w:r>
      <w:r w:rsidR="00E03112">
        <w:rPr>
          <w:rFonts w:ascii="Times" w:hAnsi="Times" w:cs="Open Sans"/>
          <w:i/>
          <w:iCs/>
          <w:color w:val="000000" w:themeColor="text1"/>
        </w:rPr>
        <w:t xml:space="preserve">Irish </w:t>
      </w:r>
      <w:r w:rsidRPr="00CC5B2D">
        <w:rPr>
          <w:rFonts w:ascii="Times" w:hAnsi="Times" w:cs="Open Sans"/>
          <w:i/>
          <w:iCs/>
          <w:color w:val="000000" w:themeColor="text1"/>
        </w:rPr>
        <w:t>Constitution</w:t>
      </w:r>
      <w:r w:rsidR="00CC5B2D">
        <w:rPr>
          <w:rStyle w:val="FootnoteReference"/>
          <w:rFonts w:ascii="Times" w:hAnsi="Times" w:cs="Open Sans"/>
          <w:i/>
          <w:iCs/>
          <w:color w:val="000000" w:themeColor="text1"/>
        </w:rPr>
        <w:footnoteReference w:id="67"/>
      </w:r>
      <w:r w:rsidR="0093222F">
        <w:rPr>
          <w:rFonts w:ascii="Times" w:hAnsi="Times" w:cs="Open Sans"/>
          <w:color w:val="000000" w:themeColor="text1"/>
        </w:rPr>
        <w:t xml:space="preserve"> </w:t>
      </w:r>
      <w:r w:rsidRPr="00D20785">
        <w:rPr>
          <w:rFonts w:ascii="Times" w:hAnsi="Times" w:cs="Open Sans"/>
          <w:color w:val="000000" w:themeColor="text1"/>
        </w:rPr>
        <w:t xml:space="preserve">and </w:t>
      </w:r>
      <w:r w:rsidRPr="00CC5B2D">
        <w:rPr>
          <w:rFonts w:ascii="Times" w:hAnsi="Times" w:cs="Open Sans"/>
          <w:i/>
          <w:iCs/>
          <w:color w:val="000000" w:themeColor="text1"/>
        </w:rPr>
        <w:t>Foley</w:t>
      </w:r>
      <w:r w:rsidRPr="00D20785">
        <w:rPr>
          <w:rFonts w:ascii="Times" w:hAnsi="Times" w:cs="Open Sans"/>
          <w:color w:val="000000" w:themeColor="text1"/>
        </w:rPr>
        <w:t xml:space="preserve">, </w:t>
      </w:r>
      <w:r w:rsidR="00CC5B2D" w:rsidRPr="00CC5B2D">
        <w:rPr>
          <w:rFonts w:ascii="Times" w:hAnsi="Times" w:cs="Open Sans"/>
          <w:i/>
          <w:iCs/>
          <w:color w:val="000000" w:themeColor="text1"/>
        </w:rPr>
        <w:t>‘The proportionality test- present problems</w:t>
      </w:r>
      <w:r w:rsidR="00CC5B2D">
        <w:rPr>
          <w:rStyle w:val="FootnoteReference"/>
          <w:rFonts w:ascii="Times" w:hAnsi="Times" w:cs="Open Sans"/>
          <w:i/>
          <w:iCs/>
          <w:color w:val="000000" w:themeColor="text1"/>
        </w:rPr>
        <w:footnoteReference w:id="68"/>
      </w:r>
      <w:r w:rsidR="00CC5B2D" w:rsidRPr="00CC5B2D">
        <w:rPr>
          <w:rFonts w:ascii="Times" w:hAnsi="Times" w:cs="Open Sans"/>
          <w:i/>
          <w:iCs/>
          <w:color w:val="000000" w:themeColor="text1"/>
        </w:rPr>
        <w:t>’</w:t>
      </w:r>
      <w:r w:rsidRPr="00D20785">
        <w:rPr>
          <w:rFonts w:ascii="Times" w:hAnsi="Times" w:cs="Open Sans"/>
          <w:color w:val="000000" w:themeColor="text1"/>
        </w:rPr>
        <w:t xml:space="preserve">, </w:t>
      </w:r>
      <w:r w:rsidR="007A4DBE">
        <w:rPr>
          <w:rFonts w:ascii="Times" w:hAnsi="Times" w:cs="Open Sans"/>
          <w:color w:val="000000" w:themeColor="text1"/>
        </w:rPr>
        <w:t xml:space="preserve">suggests that </w:t>
      </w:r>
      <w:r w:rsidRPr="00D20785">
        <w:rPr>
          <w:rFonts w:ascii="Times" w:hAnsi="Times" w:cs="Open Sans"/>
          <w:color w:val="000000" w:themeColor="text1"/>
        </w:rPr>
        <w:t xml:space="preserve">there has been </w:t>
      </w:r>
      <w:r w:rsidR="007A4DBE">
        <w:rPr>
          <w:rFonts w:ascii="Times" w:hAnsi="Times" w:cs="Open Sans"/>
          <w:color w:val="000000" w:themeColor="text1"/>
        </w:rPr>
        <w:t>inconsistency</w:t>
      </w:r>
      <w:r w:rsidR="0063178F">
        <w:rPr>
          <w:rFonts w:ascii="Times" w:hAnsi="Times" w:cs="Open Sans"/>
          <w:color w:val="000000" w:themeColor="text1"/>
        </w:rPr>
        <w:t xml:space="preserve"> and overlap </w:t>
      </w:r>
      <w:r w:rsidRPr="00D20785">
        <w:rPr>
          <w:rFonts w:ascii="Times" w:hAnsi="Times" w:cs="Open Sans"/>
          <w:color w:val="000000" w:themeColor="text1"/>
        </w:rPr>
        <w:t xml:space="preserve">between the application of the </w:t>
      </w:r>
      <w:r w:rsidRPr="00D20785">
        <w:rPr>
          <w:rFonts w:ascii="Times" w:hAnsi="Times" w:cs="Open Sans"/>
          <w:i/>
          <w:iCs/>
          <w:color w:val="000000" w:themeColor="text1"/>
        </w:rPr>
        <w:t>Tuohy</w:t>
      </w:r>
      <w:r w:rsidRPr="00D20785">
        <w:rPr>
          <w:rFonts w:ascii="Times" w:hAnsi="Times" w:cs="Open Sans"/>
          <w:color w:val="000000" w:themeColor="text1"/>
        </w:rPr>
        <w:t xml:space="preserve"> and </w:t>
      </w:r>
      <w:r w:rsidRPr="00D20785">
        <w:rPr>
          <w:rFonts w:ascii="Times" w:hAnsi="Times" w:cs="Open Sans"/>
          <w:i/>
          <w:iCs/>
          <w:color w:val="000000" w:themeColor="text1"/>
        </w:rPr>
        <w:t>Heaney</w:t>
      </w:r>
      <w:r w:rsidRPr="00D20785">
        <w:rPr>
          <w:rFonts w:ascii="Times" w:hAnsi="Times" w:cs="Open Sans"/>
          <w:color w:val="000000" w:themeColor="text1"/>
        </w:rPr>
        <w:t xml:space="preserve"> tests.</w:t>
      </w:r>
      <w:r w:rsidR="00C71E00">
        <w:rPr>
          <w:rFonts w:ascii="Times" w:hAnsi="Times" w:cs="Open Sans"/>
          <w:color w:val="000000" w:themeColor="text1"/>
        </w:rPr>
        <w:t xml:space="preserve"> The</w:t>
      </w:r>
      <w:r w:rsidR="0092464C">
        <w:rPr>
          <w:rFonts w:ascii="Times" w:hAnsi="Times" w:cs="Open Sans"/>
          <w:color w:val="000000" w:themeColor="text1"/>
        </w:rPr>
        <w:t xml:space="preserve"> Commission would note that almost universally in the </w:t>
      </w:r>
      <w:r w:rsidR="00C71E00">
        <w:rPr>
          <w:rFonts w:ascii="Times" w:hAnsi="Times" w:cs="Open Sans"/>
          <w:color w:val="000000" w:themeColor="text1"/>
        </w:rPr>
        <w:t>international</w:t>
      </w:r>
      <w:r w:rsidR="0092464C">
        <w:rPr>
          <w:rFonts w:ascii="Times" w:hAnsi="Times" w:cs="Open Sans"/>
          <w:color w:val="000000" w:themeColor="text1"/>
        </w:rPr>
        <w:t xml:space="preserve"> caselaw, proportionality review</w:t>
      </w:r>
      <w:r w:rsidR="00C71E00">
        <w:rPr>
          <w:rFonts w:ascii="Times" w:hAnsi="Times" w:cs="Open Sans"/>
          <w:color w:val="000000" w:themeColor="text1"/>
        </w:rPr>
        <w:t>s</w:t>
      </w:r>
      <w:r w:rsidR="0092464C">
        <w:rPr>
          <w:rFonts w:ascii="Times" w:hAnsi="Times" w:cs="Open Sans"/>
          <w:color w:val="000000" w:themeColor="text1"/>
        </w:rPr>
        <w:t xml:space="preserve"> of varying degrees of intensity ha</w:t>
      </w:r>
      <w:r w:rsidR="00C71E00">
        <w:rPr>
          <w:rFonts w:ascii="Times" w:hAnsi="Times" w:cs="Open Sans"/>
          <w:color w:val="000000" w:themeColor="text1"/>
        </w:rPr>
        <w:t>ve</w:t>
      </w:r>
      <w:r w:rsidR="0092464C">
        <w:rPr>
          <w:rFonts w:ascii="Times" w:hAnsi="Times" w:cs="Open Sans"/>
          <w:color w:val="000000" w:themeColor="text1"/>
        </w:rPr>
        <w:t xml:space="preserve"> been conducted</w:t>
      </w:r>
      <w:r w:rsidR="00C71E00">
        <w:rPr>
          <w:rFonts w:ascii="Times" w:hAnsi="Times" w:cs="Open Sans"/>
          <w:color w:val="000000" w:themeColor="text1"/>
        </w:rPr>
        <w:t>. But this is often</w:t>
      </w:r>
      <w:r w:rsidR="0092464C">
        <w:rPr>
          <w:rFonts w:ascii="Times" w:hAnsi="Times" w:cs="Open Sans"/>
          <w:color w:val="000000" w:themeColor="text1"/>
        </w:rPr>
        <w:t xml:space="preserve"> in conjunction with comments acknowledging the deference to be afforded to the legislature in respect of choices made</w:t>
      </w:r>
      <w:r w:rsidR="00C71E00">
        <w:rPr>
          <w:rFonts w:ascii="Times" w:hAnsi="Times" w:cs="Open Sans"/>
          <w:color w:val="000000" w:themeColor="text1"/>
        </w:rPr>
        <w:t>, particularly whe</w:t>
      </w:r>
      <w:r w:rsidR="00476811">
        <w:rPr>
          <w:rFonts w:ascii="Times" w:hAnsi="Times" w:cs="Open Sans"/>
          <w:color w:val="000000" w:themeColor="text1"/>
        </w:rPr>
        <w:t>re</w:t>
      </w:r>
      <w:r w:rsidR="0092464C">
        <w:rPr>
          <w:rFonts w:ascii="Times" w:hAnsi="Times" w:cs="Open Sans"/>
          <w:color w:val="000000" w:themeColor="text1"/>
        </w:rPr>
        <w:t xml:space="preserve"> delineating</w:t>
      </w:r>
      <w:r w:rsidR="00476811">
        <w:rPr>
          <w:rFonts w:ascii="Times" w:hAnsi="Times" w:cs="Open Sans"/>
          <w:color w:val="000000" w:themeColor="text1"/>
        </w:rPr>
        <w:t xml:space="preserve"> substantive</w:t>
      </w:r>
      <w:r w:rsidR="0092464C">
        <w:rPr>
          <w:rFonts w:ascii="Times" w:hAnsi="Times" w:cs="Open Sans"/>
          <w:color w:val="000000" w:themeColor="text1"/>
        </w:rPr>
        <w:t xml:space="preserve"> criminal liability.</w:t>
      </w:r>
      <w:r w:rsidR="00476811">
        <w:rPr>
          <w:rFonts w:ascii="Times" w:hAnsi="Times" w:cs="Open Sans"/>
          <w:color w:val="000000" w:themeColor="text1"/>
        </w:rPr>
        <w:t xml:space="preserve"> </w:t>
      </w:r>
      <w:r w:rsidR="0092464C">
        <w:rPr>
          <w:rFonts w:ascii="Times" w:hAnsi="Times" w:cs="Open Sans"/>
          <w:color w:val="000000" w:themeColor="text1"/>
        </w:rPr>
        <w:t>Th</w:t>
      </w:r>
      <w:r w:rsidR="00C71E00">
        <w:rPr>
          <w:rFonts w:ascii="Times" w:hAnsi="Times" w:cs="Open Sans"/>
          <w:color w:val="000000" w:themeColor="text1"/>
        </w:rPr>
        <w:t>at</w:t>
      </w:r>
      <w:r w:rsidR="0092464C">
        <w:rPr>
          <w:rFonts w:ascii="Times" w:hAnsi="Times" w:cs="Open Sans"/>
          <w:color w:val="000000" w:themeColor="text1"/>
        </w:rPr>
        <w:t xml:space="preserve"> is undoubtedly a matter of social policy</w:t>
      </w:r>
      <w:r w:rsidR="00476811">
        <w:rPr>
          <w:rFonts w:ascii="Times" w:hAnsi="Times" w:cs="Open Sans"/>
          <w:color w:val="000000" w:themeColor="text1"/>
        </w:rPr>
        <w:t>,</w:t>
      </w:r>
      <w:r w:rsidR="0092464C">
        <w:rPr>
          <w:rFonts w:ascii="Times" w:hAnsi="Times" w:cs="Open Sans"/>
          <w:color w:val="000000" w:themeColor="text1"/>
        </w:rPr>
        <w:t xml:space="preserve"> to which a degree of deference is due. </w:t>
      </w:r>
    </w:p>
    <w:p w14:paraId="5AFD46B4" w14:textId="77777777" w:rsidR="0092464C" w:rsidRPr="0092464C" w:rsidRDefault="0092464C" w:rsidP="00335BBC">
      <w:pPr>
        <w:pStyle w:val="ListParagraph"/>
        <w:spacing w:line="360" w:lineRule="auto"/>
        <w:rPr>
          <w:rFonts w:ascii="Times" w:hAnsi="Times" w:cs="Open Sans"/>
          <w:color w:val="000000" w:themeColor="text1"/>
        </w:rPr>
      </w:pPr>
    </w:p>
    <w:p w14:paraId="0E8F8F81" w14:textId="4AA7BE11" w:rsidR="0011188D" w:rsidRDefault="0092464C" w:rsidP="00335BBC">
      <w:pPr>
        <w:pStyle w:val="ListParagraph"/>
        <w:numPr>
          <w:ilvl w:val="0"/>
          <w:numId w:val="2"/>
        </w:numPr>
        <w:shd w:val="clear" w:color="auto" w:fill="FFFFFF"/>
        <w:spacing w:line="360" w:lineRule="auto"/>
        <w:jc w:val="both"/>
        <w:rPr>
          <w:rFonts w:ascii="Times" w:hAnsi="Times" w:cs="Open Sans"/>
          <w:color w:val="000000" w:themeColor="text1"/>
        </w:rPr>
      </w:pPr>
      <w:r>
        <w:rPr>
          <w:rFonts w:ascii="Times" w:hAnsi="Times" w:cs="Open Sans"/>
          <w:color w:val="000000" w:themeColor="text1"/>
        </w:rPr>
        <w:t>However, t</w:t>
      </w:r>
      <w:r w:rsidRPr="0092464C">
        <w:rPr>
          <w:rFonts w:ascii="Times" w:hAnsi="Times" w:cs="Open Sans"/>
          <w:color w:val="000000" w:themeColor="text1"/>
        </w:rPr>
        <w:t xml:space="preserve">he respectful position of the Commission is </w:t>
      </w:r>
      <w:r w:rsidR="00C71E00">
        <w:rPr>
          <w:rFonts w:ascii="Times" w:hAnsi="Times" w:cs="Open Sans"/>
          <w:color w:val="000000" w:themeColor="text1"/>
        </w:rPr>
        <w:t xml:space="preserve">that </w:t>
      </w:r>
      <w:r w:rsidR="00D20785" w:rsidRPr="0092464C">
        <w:rPr>
          <w:rFonts w:ascii="Times" w:hAnsi="Times" w:cs="Open Sans"/>
          <w:color w:val="000000" w:themeColor="text1"/>
        </w:rPr>
        <w:t xml:space="preserve">if </w:t>
      </w:r>
      <w:r w:rsidR="00F87F5F">
        <w:rPr>
          <w:rFonts w:ascii="Times" w:hAnsi="Times" w:cs="Open Sans"/>
          <w:i/>
          <w:iCs/>
          <w:color w:val="000000" w:themeColor="text1"/>
        </w:rPr>
        <w:t>Tuohy</w:t>
      </w:r>
      <w:r w:rsidR="00F87F5F" w:rsidRPr="0092464C">
        <w:rPr>
          <w:rFonts w:ascii="Times" w:hAnsi="Times" w:cs="Open Sans"/>
          <w:color w:val="000000" w:themeColor="text1"/>
        </w:rPr>
        <w:t xml:space="preserve"> </w:t>
      </w:r>
      <w:r w:rsidR="00D20785" w:rsidRPr="0092464C">
        <w:rPr>
          <w:rFonts w:ascii="Times" w:hAnsi="Times" w:cs="Open Sans"/>
          <w:color w:val="000000" w:themeColor="text1"/>
        </w:rPr>
        <w:t xml:space="preserve">is interpreted to require </w:t>
      </w:r>
      <w:r w:rsidR="00C71E00">
        <w:rPr>
          <w:rFonts w:ascii="Times" w:hAnsi="Times" w:cs="Open Sans"/>
          <w:color w:val="000000" w:themeColor="text1"/>
        </w:rPr>
        <w:t xml:space="preserve">that </w:t>
      </w:r>
      <w:r w:rsidR="00D20785" w:rsidRPr="0092464C">
        <w:rPr>
          <w:rFonts w:ascii="Times" w:hAnsi="Times" w:cs="Open Sans"/>
          <w:color w:val="000000" w:themeColor="text1"/>
        </w:rPr>
        <w:t xml:space="preserve">significant weight </w:t>
      </w:r>
      <w:r w:rsidR="00C71E00">
        <w:rPr>
          <w:rFonts w:ascii="Times" w:hAnsi="Times" w:cs="Open Sans"/>
          <w:color w:val="000000" w:themeColor="text1"/>
        </w:rPr>
        <w:t xml:space="preserve">is to be afforded </w:t>
      </w:r>
      <w:r w:rsidR="00D20785" w:rsidRPr="0092464C">
        <w:rPr>
          <w:rFonts w:ascii="Times" w:hAnsi="Times" w:cs="Open Sans"/>
          <w:color w:val="000000" w:themeColor="text1"/>
        </w:rPr>
        <w:t xml:space="preserve">to the </w:t>
      </w:r>
      <w:r>
        <w:rPr>
          <w:rFonts w:ascii="Times" w:hAnsi="Times" w:cs="Open Sans"/>
          <w:color w:val="000000" w:themeColor="text1"/>
        </w:rPr>
        <w:t>choice</w:t>
      </w:r>
      <w:r w:rsidR="00D20785" w:rsidRPr="0092464C">
        <w:rPr>
          <w:rFonts w:ascii="Times" w:hAnsi="Times" w:cs="Open Sans"/>
          <w:color w:val="000000" w:themeColor="text1"/>
        </w:rPr>
        <w:t xml:space="preserve"> of the Oireachtas in determining when it is appropriate to shift the legal burden, then th</w:t>
      </w:r>
      <w:r>
        <w:rPr>
          <w:rFonts w:ascii="Times" w:hAnsi="Times" w:cs="Open Sans"/>
          <w:color w:val="000000" w:themeColor="text1"/>
        </w:rPr>
        <w:t>at</w:t>
      </w:r>
      <w:r w:rsidR="00D20785" w:rsidRPr="0092464C">
        <w:rPr>
          <w:rFonts w:ascii="Times" w:hAnsi="Times" w:cs="Open Sans"/>
          <w:color w:val="000000" w:themeColor="text1"/>
        </w:rPr>
        <w:t xml:space="preserve"> standard </w:t>
      </w:r>
      <w:r w:rsidR="003E337F">
        <w:rPr>
          <w:rFonts w:ascii="Times" w:hAnsi="Times" w:cs="Open Sans"/>
          <w:color w:val="000000" w:themeColor="text1"/>
        </w:rPr>
        <w:t>would be</w:t>
      </w:r>
      <w:r w:rsidR="00D20785" w:rsidRPr="0092464C">
        <w:rPr>
          <w:rFonts w:ascii="Times" w:hAnsi="Times" w:cs="Open Sans"/>
          <w:color w:val="000000" w:themeColor="text1"/>
        </w:rPr>
        <w:t xml:space="preserve"> unduly deferential</w:t>
      </w:r>
      <w:r w:rsidRPr="0092464C">
        <w:rPr>
          <w:rFonts w:ascii="Times" w:hAnsi="Times" w:cs="Open Sans"/>
          <w:color w:val="000000" w:themeColor="text1"/>
        </w:rPr>
        <w:t xml:space="preserve">. </w:t>
      </w:r>
      <w:r w:rsidRPr="0011188D">
        <w:rPr>
          <w:rFonts w:ascii="Times" w:hAnsi="Times" w:cs="Open Sans"/>
          <w:color w:val="000000" w:themeColor="text1"/>
        </w:rPr>
        <w:t xml:space="preserve">The justification for </w:t>
      </w:r>
      <w:r w:rsidR="009B40F8">
        <w:rPr>
          <w:rFonts w:ascii="Times" w:hAnsi="Times" w:cs="Open Sans"/>
          <w:color w:val="000000" w:themeColor="text1"/>
        </w:rPr>
        <w:t>transfer</w:t>
      </w:r>
      <w:r w:rsidR="009B40F8" w:rsidRPr="0011188D">
        <w:rPr>
          <w:rFonts w:ascii="Times" w:hAnsi="Times" w:cs="Open Sans"/>
          <w:color w:val="000000" w:themeColor="text1"/>
        </w:rPr>
        <w:t>ring</w:t>
      </w:r>
      <w:r w:rsidR="002A423E" w:rsidRPr="0011188D">
        <w:rPr>
          <w:rFonts w:ascii="Times" w:hAnsi="Times" w:cs="Open Sans"/>
          <w:color w:val="000000" w:themeColor="text1"/>
        </w:rPr>
        <w:t xml:space="preserve"> </w:t>
      </w:r>
      <w:r w:rsidRPr="0011188D">
        <w:rPr>
          <w:rFonts w:ascii="Times" w:hAnsi="Times" w:cs="Open Sans"/>
          <w:color w:val="000000" w:themeColor="text1"/>
        </w:rPr>
        <w:t xml:space="preserve">the legal burden </w:t>
      </w:r>
      <w:r w:rsidR="00C71E00" w:rsidRPr="0011188D">
        <w:rPr>
          <w:rFonts w:ascii="Times" w:hAnsi="Times" w:cs="Open Sans"/>
          <w:color w:val="000000" w:themeColor="text1"/>
        </w:rPr>
        <w:t xml:space="preserve">is </w:t>
      </w:r>
      <w:r w:rsidRPr="0011188D">
        <w:rPr>
          <w:rFonts w:ascii="Times" w:hAnsi="Times" w:cs="Open Sans"/>
          <w:color w:val="000000" w:themeColor="text1"/>
        </w:rPr>
        <w:t xml:space="preserve">not primarily </w:t>
      </w:r>
      <w:r w:rsidR="00A2740D">
        <w:rPr>
          <w:rFonts w:ascii="Times" w:hAnsi="Times" w:cs="Open Sans"/>
          <w:color w:val="000000" w:themeColor="text1"/>
        </w:rPr>
        <w:t>dependent on</w:t>
      </w:r>
      <w:r w:rsidRPr="0011188D">
        <w:rPr>
          <w:rFonts w:ascii="Times" w:hAnsi="Times" w:cs="Open Sans"/>
          <w:color w:val="000000" w:themeColor="text1"/>
        </w:rPr>
        <w:t xml:space="preserve"> question</w:t>
      </w:r>
      <w:r w:rsidR="00A2740D">
        <w:rPr>
          <w:rFonts w:ascii="Times" w:hAnsi="Times" w:cs="Open Sans"/>
          <w:color w:val="000000" w:themeColor="text1"/>
        </w:rPr>
        <w:t>s</w:t>
      </w:r>
      <w:r w:rsidRPr="0011188D">
        <w:rPr>
          <w:rFonts w:ascii="Times" w:hAnsi="Times" w:cs="Open Sans"/>
          <w:color w:val="000000" w:themeColor="text1"/>
        </w:rPr>
        <w:t xml:space="preserve"> of social policy</w:t>
      </w:r>
      <w:r w:rsidR="00C71E00" w:rsidRPr="0011188D">
        <w:rPr>
          <w:rFonts w:ascii="Times" w:hAnsi="Times" w:cs="Open Sans"/>
          <w:color w:val="000000" w:themeColor="text1"/>
        </w:rPr>
        <w:t>, like the delineation of criminal liability is</w:t>
      </w:r>
      <w:r w:rsidRPr="0011188D">
        <w:rPr>
          <w:rFonts w:ascii="Times" w:hAnsi="Times" w:cs="Open Sans"/>
          <w:color w:val="000000" w:themeColor="text1"/>
        </w:rPr>
        <w:t>.</w:t>
      </w:r>
      <w:r w:rsidR="00D20785" w:rsidRPr="0011188D">
        <w:rPr>
          <w:rFonts w:ascii="Times" w:hAnsi="Times" w:cs="Open Sans"/>
          <w:color w:val="000000" w:themeColor="text1"/>
        </w:rPr>
        <w:t xml:space="preserve"> </w:t>
      </w:r>
      <w:r w:rsidR="0073536C">
        <w:rPr>
          <w:rFonts w:ascii="Times" w:hAnsi="Times" w:cs="Open Sans"/>
          <w:color w:val="000000" w:themeColor="text1"/>
        </w:rPr>
        <w:t>It is the impact of the tran</w:t>
      </w:r>
      <w:r w:rsidR="005F3052">
        <w:rPr>
          <w:rFonts w:ascii="Times" w:hAnsi="Times" w:cs="Open Sans"/>
          <w:color w:val="000000" w:themeColor="text1"/>
        </w:rPr>
        <w:t>s</w:t>
      </w:r>
      <w:r w:rsidR="0073536C">
        <w:rPr>
          <w:rFonts w:ascii="Times" w:hAnsi="Times" w:cs="Open Sans"/>
          <w:color w:val="000000" w:themeColor="text1"/>
        </w:rPr>
        <w:t>fer on the fairness of a criminal trial which determine</w:t>
      </w:r>
      <w:r w:rsidR="006752FE">
        <w:rPr>
          <w:rFonts w:ascii="Times" w:hAnsi="Times" w:cs="Open Sans"/>
          <w:color w:val="000000" w:themeColor="text1"/>
        </w:rPr>
        <w:t>s</w:t>
      </w:r>
      <w:r w:rsidR="0073536C">
        <w:rPr>
          <w:rFonts w:ascii="Times" w:hAnsi="Times" w:cs="Open Sans"/>
          <w:color w:val="000000" w:themeColor="text1"/>
        </w:rPr>
        <w:t xml:space="preserve"> whether the </w:t>
      </w:r>
      <w:r w:rsidR="002A423E">
        <w:rPr>
          <w:rFonts w:ascii="Times" w:hAnsi="Times" w:cs="Open Sans"/>
          <w:color w:val="000000" w:themeColor="text1"/>
        </w:rPr>
        <w:t>measure</w:t>
      </w:r>
      <w:r w:rsidR="0073536C">
        <w:rPr>
          <w:rFonts w:ascii="Times" w:hAnsi="Times" w:cs="Open Sans"/>
          <w:color w:val="000000" w:themeColor="text1"/>
        </w:rPr>
        <w:t xml:space="preserve"> is proportionate and constitutional.  </w:t>
      </w:r>
    </w:p>
    <w:p w14:paraId="34810B3A" w14:textId="77777777" w:rsidR="0011188D" w:rsidRPr="0011188D" w:rsidRDefault="0011188D" w:rsidP="00335BBC">
      <w:pPr>
        <w:pStyle w:val="ListParagraph"/>
        <w:spacing w:line="360" w:lineRule="auto"/>
        <w:rPr>
          <w:rFonts w:ascii="Times" w:hAnsi="Times" w:cs="Open Sans"/>
          <w:color w:val="000000" w:themeColor="text1"/>
        </w:rPr>
      </w:pPr>
    </w:p>
    <w:p w14:paraId="40048644" w14:textId="61D03EDD" w:rsidR="00A54A8B" w:rsidRPr="0011188D" w:rsidRDefault="0073536C" w:rsidP="00335BBC">
      <w:pPr>
        <w:pStyle w:val="ListParagraph"/>
        <w:numPr>
          <w:ilvl w:val="0"/>
          <w:numId w:val="2"/>
        </w:numPr>
        <w:shd w:val="clear" w:color="auto" w:fill="FFFFFF"/>
        <w:spacing w:line="360" w:lineRule="auto"/>
        <w:jc w:val="both"/>
        <w:rPr>
          <w:rFonts w:ascii="Times" w:hAnsi="Times" w:cs="Open Sans"/>
          <w:color w:val="000000" w:themeColor="text1"/>
        </w:rPr>
      </w:pPr>
      <w:r>
        <w:rPr>
          <w:rFonts w:ascii="Times" w:hAnsi="Times" w:cs="Open Sans"/>
          <w:color w:val="000000"/>
          <w:shd w:val="clear" w:color="auto" w:fill="FFFFFF"/>
        </w:rPr>
        <w:t>A</w:t>
      </w:r>
      <w:r w:rsidRPr="000901B7">
        <w:rPr>
          <w:rFonts w:ascii="Times" w:hAnsi="Times" w:cs="Open Sans"/>
          <w:color w:val="000000"/>
          <w:shd w:val="clear" w:color="auto" w:fill="FFFFFF"/>
        </w:rPr>
        <w:t xml:space="preserve">s noted by Stack J, once policy choices are reflected in legislation and applied to a criminal trial, the impact on the trial process is a </w:t>
      </w:r>
      <w:r>
        <w:rPr>
          <w:rFonts w:ascii="Times" w:hAnsi="Times" w:cs="Open Sans"/>
          <w:color w:val="000000"/>
          <w:shd w:val="clear" w:color="auto" w:fill="FFFFFF"/>
        </w:rPr>
        <w:t>question</w:t>
      </w:r>
      <w:r w:rsidRPr="000901B7">
        <w:rPr>
          <w:rFonts w:ascii="Times" w:hAnsi="Times" w:cs="Open Sans"/>
          <w:color w:val="000000"/>
          <w:shd w:val="clear" w:color="auto" w:fill="FFFFFF"/>
        </w:rPr>
        <w:t xml:space="preserve"> of law. </w:t>
      </w:r>
      <w:r w:rsidR="009B40F8">
        <w:rPr>
          <w:rFonts w:ascii="Times" w:hAnsi="Times" w:cs="Open Sans"/>
          <w:color w:val="000000"/>
          <w:shd w:val="clear" w:color="auto" w:fill="FFFFFF"/>
        </w:rPr>
        <w:t xml:space="preserve">In this regard, </w:t>
      </w:r>
      <w:r w:rsidR="009B40F8">
        <w:rPr>
          <w:rFonts w:ascii="Times" w:hAnsi="Times" w:cs="Open Sans"/>
          <w:color w:val="000000" w:themeColor="text1"/>
        </w:rPr>
        <w:t>t</w:t>
      </w:r>
      <w:r w:rsidR="00D20785" w:rsidRPr="0011188D">
        <w:rPr>
          <w:rFonts w:ascii="Times" w:hAnsi="Times" w:cs="Open Sans"/>
          <w:color w:val="000000" w:themeColor="text1"/>
        </w:rPr>
        <w:t>here are specific minimum standards</w:t>
      </w:r>
      <w:r w:rsidR="005F3052">
        <w:rPr>
          <w:rFonts w:ascii="Times" w:hAnsi="Times" w:cs="Open Sans"/>
          <w:color w:val="000000" w:themeColor="text1"/>
        </w:rPr>
        <w:t xml:space="preserve"> </w:t>
      </w:r>
      <w:r w:rsidR="00D20785" w:rsidRPr="0011188D">
        <w:rPr>
          <w:rFonts w:ascii="Times" w:hAnsi="Times" w:cs="Open Sans"/>
          <w:color w:val="000000" w:themeColor="text1"/>
        </w:rPr>
        <w:t xml:space="preserve">that </w:t>
      </w:r>
      <w:r w:rsidR="005F3052">
        <w:rPr>
          <w:rFonts w:ascii="Times" w:hAnsi="Times" w:cs="Open Sans"/>
          <w:color w:val="000000" w:themeColor="text1"/>
        </w:rPr>
        <w:t>apply to</w:t>
      </w:r>
      <w:r w:rsidR="00D20785" w:rsidRPr="0011188D">
        <w:rPr>
          <w:rFonts w:ascii="Times" w:hAnsi="Times" w:cs="Open Sans"/>
          <w:color w:val="000000" w:themeColor="text1"/>
        </w:rPr>
        <w:t xml:space="preserve"> of the shifting of the legal burden. </w:t>
      </w:r>
      <w:r w:rsidR="00A54A8B" w:rsidRPr="0011188D">
        <w:rPr>
          <w:rFonts w:ascii="Times" w:hAnsi="Times" w:cs="Open Sans"/>
          <w:color w:val="000000" w:themeColor="text1"/>
        </w:rPr>
        <w:t>The Court is well placed to identify, as a matter of law, whe</w:t>
      </w:r>
      <w:r>
        <w:rPr>
          <w:rFonts w:ascii="Times" w:hAnsi="Times" w:cs="Open Sans"/>
          <w:color w:val="000000" w:themeColor="text1"/>
        </w:rPr>
        <w:t>ther</w:t>
      </w:r>
      <w:r w:rsidR="00A54A8B" w:rsidRPr="0011188D">
        <w:rPr>
          <w:rFonts w:ascii="Times" w:hAnsi="Times" w:cs="Open Sans"/>
          <w:color w:val="000000" w:themeColor="text1"/>
        </w:rPr>
        <w:t xml:space="preserve"> these minimum standards have been met. </w:t>
      </w:r>
    </w:p>
    <w:p w14:paraId="074BC215" w14:textId="77777777" w:rsidR="00674007" w:rsidRPr="00A71595" w:rsidRDefault="00674007" w:rsidP="00CE5EEE">
      <w:pPr>
        <w:rPr>
          <w:rFonts w:ascii="Times" w:hAnsi="Times"/>
          <w:color w:val="000000" w:themeColor="text1"/>
        </w:rPr>
      </w:pPr>
    </w:p>
    <w:p w14:paraId="07C5D393" w14:textId="5EA101C0" w:rsidR="003D2570" w:rsidRPr="00C45CE4" w:rsidRDefault="00674007" w:rsidP="00674007">
      <w:pPr>
        <w:shd w:val="clear" w:color="auto" w:fill="FFFFFF"/>
        <w:spacing w:after="240"/>
        <w:jc w:val="right"/>
        <w:rPr>
          <w:rFonts w:ascii="Times" w:hAnsi="Times" w:cs="Open Sans"/>
          <w:b/>
          <w:bCs/>
          <w:color w:val="000000" w:themeColor="text1"/>
          <w:lang w:val="de-DE"/>
        </w:rPr>
      </w:pPr>
      <w:r w:rsidRPr="00C45CE4">
        <w:rPr>
          <w:rFonts w:ascii="Times" w:hAnsi="Times" w:cs="Open Sans"/>
          <w:b/>
          <w:bCs/>
          <w:color w:val="000000" w:themeColor="text1"/>
          <w:lang w:val="de-DE"/>
        </w:rPr>
        <w:lastRenderedPageBreak/>
        <w:t>Mark Lynam BL</w:t>
      </w:r>
    </w:p>
    <w:p w14:paraId="355010DF" w14:textId="293D2800" w:rsidR="00674007" w:rsidRPr="00C45CE4" w:rsidRDefault="00674007" w:rsidP="00674007">
      <w:pPr>
        <w:shd w:val="clear" w:color="auto" w:fill="FFFFFF"/>
        <w:spacing w:after="240"/>
        <w:jc w:val="right"/>
        <w:rPr>
          <w:rFonts w:ascii="Times" w:hAnsi="Times" w:cs="Open Sans"/>
          <w:b/>
          <w:bCs/>
          <w:color w:val="000000" w:themeColor="text1"/>
          <w:lang w:val="de-DE"/>
        </w:rPr>
      </w:pPr>
      <w:r w:rsidRPr="00C45CE4">
        <w:rPr>
          <w:rFonts w:ascii="Times" w:hAnsi="Times" w:cs="Open Sans"/>
          <w:b/>
          <w:bCs/>
          <w:color w:val="000000" w:themeColor="text1"/>
          <w:lang w:val="de-DE"/>
        </w:rPr>
        <w:t>Sean Guerin SC</w:t>
      </w:r>
    </w:p>
    <w:p w14:paraId="2A344465" w14:textId="3230999B" w:rsidR="00E3746D" w:rsidRPr="00C45CE4" w:rsidRDefault="00E3746D" w:rsidP="00674007">
      <w:pPr>
        <w:shd w:val="clear" w:color="auto" w:fill="FFFFFF"/>
        <w:spacing w:after="240"/>
        <w:jc w:val="right"/>
        <w:rPr>
          <w:rFonts w:ascii="Times" w:hAnsi="Times" w:cs="Open Sans"/>
          <w:b/>
          <w:bCs/>
          <w:color w:val="000000" w:themeColor="text1"/>
          <w:lang w:val="de-DE"/>
        </w:rPr>
      </w:pPr>
    </w:p>
    <w:p w14:paraId="0FA702AB" w14:textId="4945AE47" w:rsidR="00E3746D" w:rsidRDefault="00E3746D" w:rsidP="009966D4">
      <w:pPr>
        <w:shd w:val="clear" w:color="auto" w:fill="FFFFFF"/>
        <w:spacing w:after="240"/>
        <w:jc w:val="right"/>
        <w:rPr>
          <w:rFonts w:ascii="Times" w:hAnsi="Times" w:cs="Open Sans"/>
          <w:b/>
          <w:bCs/>
          <w:color w:val="000000" w:themeColor="text1"/>
        </w:rPr>
      </w:pPr>
      <w:r>
        <w:rPr>
          <w:rFonts w:ascii="Times" w:hAnsi="Times" w:cs="Open Sans"/>
          <w:b/>
          <w:bCs/>
          <w:color w:val="000000" w:themeColor="text1"/>
        </w:rPr>
        <w:t>1 March 2023</w:t>
      </w:r>
    </w:p>
    <w:p w14:paraId="3F6F1C10" w14:textId="655C19EF" w:rsidR="00E3746D" w:rsidRDefault="00E3746D" w:rsidP="00674007">
      <w:pPr>
        <w:shd w:val="clear" w:color="auto" w:fill="FFFFFF"/>
        <w:spacing w:after="240"/>
        <w:jc w:val="right"/>
        <w:rPr>
          <w:rFonts w:ascii="Times" w:hAnsi="Times" w:cs="Open Sans"/>
          <w:b/>
          <w:bCs/>
          <w:color w:val="000000" w:themeColor="text1"/>
        </w:rPr>
      </w:pPr>
      <w:r w:rsidRPr="0064272C">
        <w:rPr>
          <w:rFonts w:ascii="Times" w:hAnsi="Times" w:cs="Open Sans"/>
          <w:b/>
          <w:bCs/>
          <w:color w:val="000000" w:themeColor="text1"/>
        </w:rPr>
        <w:t>[</w:t>
      </w:r>
      <w:r w:rsidR="009966D4">
        <w:rPr>
          <w:rFonts w:ascii="Times" w:hAnsi="Times" w:cs="Open Sans"/>
          <w:b/>
          <w:bCs/>
          <w:color w:val="000000" w:themeColor="text1"/>
        </w:rPr>
        <w:t>8,6</w:t>
      </w:r>
      <w:r w:rsidR="00D0666A">
        <w:rPr>
          <w:rFonts w:ascii="Times" w:hAnsi="Times" w:cs="Open Sans"/>
          <w:b/>
          <w:bCs/>
          <w:color w:val="000000" w:themeColor="text1"/>
        </w:rPr>
        <w:t>21</w:t>
      </w:r>
      <w:r w:rsidRPr="0064272C">
        <w:rPr>
          <w:rFonts w:ascii="Times" w:hAnsi="Times" w:cs="Open Sans"/>
          <w:b/>
          <w:bCs/>
          <w:color w:val="000000" w:themeColor="text1"/>
        </w:rPr>
        <w:t xml:space="preserve"> words]</w:t>
      </w:r>
    </w:p>
    <w:p w14:paraId="48D9A5DC" w14:textId="77777777" w:rsidR="00FF1B1E" w:rsidRPr="00FF1B1E" w:rsidRDefault="00FF1B1E">
      <w:pPr>
        <w:rPr>
          <w:rFonts w:ascii="Times" w:hAnsi="Times"/>
          <w:i/>
          <w:iCs/>
          <w:color w:val="000000" w:themeColor="text1"/>
        </w:rPr>
      </w:pPr>
    </w:p>
    <w:sectPr w:rsidR="00FF1B1E" w:rsidRPr="00FF1B1E" w:rsidSect="00D63247">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E67A" w14:textId="77777777" w:rsidR="005A7511" w:rsidRDefault="005A7511" w:rsidP="00B14606">
      <w:r>
        <w:separator/>
      </w:r>
    </w:p>
  </w:endnote>
  <w:endnote w:type="continuationSeparator" w:id="0">
    <w:p w14:paraId="3AFF862E" w14:textId="77777777" w:rsidR="005A7511" w:rsidRDefault="005A7511" w:rsidP="00B1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illSansM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110628"/>
      <w:docPartObj>
        <w:docPartGallery w:val="Page Numbers (Bottom of Page)"/>
        <w:docPartUnique/>
      </w:docPartObj>
    </w:sdtPr>
    <w:sdtEndPr>
      <w:rPr>
        <w:rStyle w:val="PageNumber"/>
      </w:rPr>
    </w:sdtEndPr>
    <w:sdtContent>
      <w:p w14:paraId="2ED96BE1" w14:textId="35C898E7" w:rsidR="00CE2E51" w:rsidRDefault="00CE2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0DF2">
          <w:rPr>
            <w:rStyle w:val="PageNumber"/>
            <w:noProof/>
          </w:rPr>
          <w:t>27</w:t>
        </w:r>
        <w:r>
          <w:rPr>
            <w:rStyle w:val="PageNumber"/>
          </w:rPr>
          <w:fldChar w:fldCharType="end"/>
        </w:r>
      </w:p>
    </w:sdtContent>
  </w:sdt>
  <w:p w14:paraId="098783D6" w14:textId="77777777" w:rsidR="00CE2E51" w:rsidRDefault="00CE2E51" w:rsidP="00B14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8745966"/>
      <w:docPartObj>
        <w:docPartGallery w:val="Page Numbers (Bottom of Page)"/>
        <w:docPartUnique/>
      </w:docPartObj>
    </w:sdtPr>
    <w:sdtEndPr>
      <w:rPr>
        <w:rStyle w:val="PageNumber"/>
      </w:rPr>
    </w:sdtEndPr>
    <w:sdtContent>
      <w:p w14:paraId="2AB5A5C5" w14:textId="12286BFE" w:rsidR="00CE2E51" w:rsidRDefault="00CE2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0DF2">
          <w:rPr>
            <w:rStyle w:val="PageNumber"/>
            <w:noProof/>
          </w:rPr>
          <w:t>27</w:t>
        </w:r>
        <w:r>
          <w:rPr>
            <w:rStyle w:val="PageNumber"/>
          </w:rPr>
          <w:fldChar w:fldCharType="end"/>
        </w:r>
      </w:p>
    </w:sdtContent>
  </w:sdt>
  <w:p w14:paraId="2CA0AA65" w14:textId="77777777" w:rsidR="00CE2E51" w:rsidRDefault="00CE2E51" w:rsidP="00B146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9497" w14:textId="77777777" w:rsidR="005A7511" w:rsidRDefault="005A7511" w:rsidP="00B14606">
      <w:r>
        <w:separator/>
      </w:r>
    </w:p>
  </w:footnote>
  <w:footnote w:type="continuationSeparator" w:id="0">
    <w:p w14:paraId="53BAA1EF" w14:textId="77777777" w:rsidR="005A7511" w:rsidRDefault="005A7511" w:rsidP="00B14606">
      <w:r>
        <w:continuationSeparator/>
      </w:r>
    </w:p>
  </w:footnote>
  <w:footnote w:id="1">
    <w:p w14:paraId="5EB42D38" w14:textId="2A960562" w:rsidR="009E610F" w:rsidRPr="00C45CE4" w:rsidRDefault="009E610F">
      <w:pPr>
        <w:pStyle w:val="FootnoteText"/>
        <w:rPr>
          <w:lang w:val="de-DE"/>
        </w:rPr>
      </w:pPr>
      <w:r>
        <w:rPr>
          <w:rStyle w:val="FootnoteReference"/>
        </w:rPr>
        <w:footnoteRef/>
      </w:r>
      <w:r w:rsidRPr="00C45CE4">
        <w:rPr>
          <w:lang w:val="de-DE"/>
        </w:rPr>
        <w:t xml:space="preserve"> </w:t>
      </w:r>
      <w:r>
        <w:rPr>
          <w:i/>
          <w:iCs/>
          <w:lang w:val="de-DE"/>
        </w:rPr>
        <w:t>R v C</w:t>
      </w:r>
      <w:r w:rsidRPr="00AD1CFC">
        <w:rPr>
          <w:i/>
          <w:iCs/>
          <w:lang w:val="de-DE"/>
        </w:rPr>
        <w:t xml:space="preserve">haulk </w:t>
      </w:r>
      <w:r w:rsidRPr="00AD1CFC">
        <w:rPr>
          <w:lang w:val="de-DE"/>
        </w:rPr>
        <w:t>[1990] 3 S.C.R. 1303</w:t>
      </w:r>
      <w:r w:rsidR="00C45CE4">
        <w:rPr>
          <w:lang w:val="de-DE"/>
        </w:rPr>
        <w:t>.</w:t>
      </w:r>
    </w:p>
  </w:footnote>
  <w:footnote w:id="2">
    <w:p w14:paraId="3CA0D125" w14:textId="6DDBF6C0" w:rsidR="00CE2E51" w:rsidRDefault="00CE2E51">
      <w:pPr>
        <w:pStyle w:val="FootnoteText"/>
      </w:pPr>
      <w:r>
        <w:rPr>
          <w:rStyle w:val="FootnoteReference"/>
        </w:rPr>
        <w:footnoteRef/>
      </w:r>
      <w:r>
        <w:t xml:space="preserve"> </w:t>
      </w:r>
      <w:r w:rsidRPr="00335BBC">
        <w:rPr>
          <w:i/>
          <w:iCs/>
        </w:rPr>
        <w:t>DPP v D O’T</w:t>
      </w:r>
      <w:r>
        <w:t xml:space="preserve"> [2003] 4 I.R. 286 per Hardiman J at p.290</w:t>
      </w:r>
      <w:r w:rsidR="00C45CE4">
        <w:t>.</w:t>
      </w:r>
    </w:p>
  </w:footnote>
  <w:footnote w:id="3">
    <w:p w14:paraId="09E86067" w14:textId="7B8664F5" w:rsidR="009E610F" w:rsidRDefault="009E610F">
      <w:pPr>
        <w:pStyle w:val="FootnoteText"/>
      </w:pPr>
      <w:r>
        <w:rPr>
          <w:rStyle w:val="FootnoteReference"/>
        </w:rPr>
        <w:footnoteRef/>
      </w:r>
      <w:r>
        <w:t xml:space="preserve"> </w:t>
      </w:r>
      <w:r>
        <w:rPr>
          <w:i/>
          <w:iCs/>
        </w:rPr>
        <w:t xml:space="preserve">Nottinghamshire County Council v KB </w:t>
      </w:r>
      <w:r>
        <w:t>[2011] IESC 48 at paragraph 87</w:t>
      </w:r>
      <w:r w:rsidR="00C45CE4">
        <w:t>.</w:t>
      </w:r>
    </w:p>
  </w:footnote>
  <w:footnote w:id="4">
    <w:p w14:paraId="0025A8BA" w14:textId="0DCC8E93" w:rsidR="009E610F" w:rsidRDefault="009E610F">
      <w:pPr>
        <w:pStyle w:val="FootnoteText"/>
      </w:pPr>
      <w:r>
        <w:rPr>
          <w:rStyle w:val="FootnoteReference"/>
        </w:rPr>
        <w:footnoteRef/>
      </w:r>
      <w:r>
        <w:t xml:space="preserve"> </w:t>
      </w:r>
      <w:r>
        <w:rPr>
          <w:i/>
          <w:iCs/>
          <w:lang w:val="en-US"/>
        </w:rPr>
        <w:t xml:space="preserve">DPP v Gilligan </w:t>
      </w:r>
      <w:r>
        <w:rPr>
          <w:lang w:val="en-US"/>
        </w:rPr>
        <w:t>[2005] IESC 78 at paragraph 83</w:t>
      </w:r>
      <w:r w:rsidR="00C45CE4">
        <w:rPr>
          <w:lang w:val="en-US"/>
        </w:rPr>
        <w:t>.</w:t>
      </w:r>
    </w:p>
  </w:footnote>
  <w:footnote w:id="5">
    <w:p w14:paraId="71522E2B" w14:textId="0EA5A099" w:rsidR="00CE2E51" w:rsidRDefault="00CE2E51">
      <w:pPr>
        <w:pStyle w:val="FootnoteText"/>
      </w:pPr>
      <w:r>
        <w:rPr>
          <w:rStyle w:val="FootnoteReference"/>
        </w:rPr>
        <w:footnoteRef/>
      </w:r>
      <w:r w:rsidR="0064272C">
        <w:rPr>
          <w:i/>
        </w:rPr>
        <w:t>Kelly v O’Neill</w:t>
      </w:r>
      <w:r>
        <w:t xml:space="preserve"> </w:t>
      </w:r>
      <w:r w:rsidRPr="00606DF7">
        <w:rPr>
          <w:bCs/>
          <w:lang w:val="en-US"/>
        </w:rPr>
        <w:t>[2000] 1 IR 354 at 375</w:t>
      </w:r>
      <w:r w:rsidR="00C45CE4">
        <w:rPr>
          <w:bCs/>
          <w:lang w:val="en-US"/>
        </w:rPr>
        <w:t>.</w:t>
      </w:r>
      <w:r w:rsidR="009E610F" w:rsidRPr="009E610F">
        <w:rPr>
          <w:lang w:val="en-US"/>
        </w:rPr>
        <w:t xml:space="preserve"> </w:t>
      </w:r>
    </w:p>
  </w:footnote>
  <w:footnote w:id="6">
    <w:p w14:paraId="5D49C557" w14:textId="3B3D1782" w:rsidR="00CE2E51" w:rsidRDefault="00CE2E51">
      <w:pPr>
        <w:pStyle w:val="FootnoteText"/>
      </w:pPr>
      <w:r>
        <w:rPr>
          <w:rStyle w:val="FootnoteReference"/>
        </w:rPr>
        <w:footnoteRef/>
      </w:r>
      <w:r>
        <w:t xml:space="preserve"> </w:t>
      </w:r>
      <w:r w:rsidR="009E610F">
        <w:rPr>
          <w:i/>
          <w:iCs/>
          <w:color w:val="000000" w:themeColor="text1"/>
        </w:rPr>
        <w:t xml:space="preserve">Martin Conmey v DPP </w:t>
      </w:r>
      <w:r w:rsidR="009E610F">
        <w:rPr>
          <w:color w:val="000000" w:themeColor="text1"/>
        </w:rPr>
        <w:t>[2014] IECCA 31 at paragraph 42</w:t>
      </w:r>
      <w:r w:rsidR="00C45CE4">
        <w:rPr>
          <w:color w:val="000000" w:themeColor="text1"/>
        </w:rPr>
        <w:t>.</w:t>
      </w:r>
    </w:p>
  </w:footnote>
  <w:footnote w:id="7">
    <w:p w14:paraId="722B9B13" w14:textId="31BBB65C" w:rsidR="00CE2E51" w:rsidRDefault="00CE2E51">
      <w:pPr>
        <w:pStyle w:val="FootnoteText"/>
      </w:pPr>
      <w:r>
        <w:rPr>
          <w:rStyle w:val="FootnoteReference"/>
        </w:rPr>
        <w:footnoteRef/>
      </w:r>
      <w:r>
        <w:t xml:space="preserve"> </w:t>
      </w:r>
      <w:r w:rsidR="009E610F">
        <w:rPr>
          <w:i/>
          <w:iCs/>
        </w:rPr>
        <w:t xml:space="preserve">The People (DPP) v Hannon </w:t>
      </w:r>
      <w:r w:rsidR="009E610F">
        <w:t>[2009] 4 I.R. 147</w:t>
      </w:r>
      <w:r w:rsidR="009E610F">
        <w:rPr>
          <w:i/>
          <w:iCs/>
        </w:rPr>
        <w:t xml:space="preserve"> </w:t>
      </w:r>
      <w:r w:rsidR="009E610F">
        <w:t>at p.156</w:t>
      </w:r>
      <w:r w:rsidR="00C45CE4">
        <w:t>.</w:t>
      </w:r>
    </w:p>
  </w:footnote>
  <w:footnote w:id="8">
    <w:p w14:paraId="4209872F" w14:textId="77777777" w:rsidR="009E610F" w:rsidRPr="00125590" w:rsidRDefault="009E610F" w:rsidP="009E610F">
      <w:pPr>
        <w:pStyle w:val="FootnoteText"/>
        <w:rPr>
          <w:lang w:val="en-US"/>
        </w:rPr>
      </w:pPr>
      <w:r>
        <w:rPr>
          <w:rStyle w:val="FootnoteReference"/>
        </w:rPr>
        <w:footnoteRef/>
      </w:r>
      <w:r>
        <w:t xml:space="preserve"> </w:t>
      </w:r>
      <w:r>
        <w:rPr>
          <w:i/>
          <w:iCs/>
        </w:rPr>
        <w:t xml:space="preserve">P. O’C v DPP </w:t>
      </w:r>
      <w:r>
        <w:t xml:space="preserve">[2000] 3 IR 87. </w:t>
      </w:r>
    </w:p>
  </w:footnote>
  <w:footnote w:id="9">
    <w:p w14:paraId="6F71BC98" w14:textId="53F81609" w:rsidR="00CE2E51" w:rsidRDefault="00CE2E51">
      <w:pPr>
        <w:pStyle w:val="FootnoteText"/>
      </w:pPr>
      <w:r>
        <w:rPr>
          <w:rStyle w:val="FootnoteReference"/>
        </w:rPr>
        <w:footnoteRef/>
      </w:r>
      <w:r>
        <w:t xml:space="preserve"> </w:t>
      </w:r>
      <w:r w:rsidRPr="001D33B5">
        <w:rPr>
          <w:i/>
          <w:iCs/>
        </w:rPr>
        <w:t>Simpson v Governor of Mountjoy Prison</w:t>
      </w:r>
      <w:r w:rsidR="001D33B5" w:rsidRPr="001D33B5">
        <w:rPr>
          <w:i/>
          <w:iCs/>
        </w:rPr>
        <w:t xml:space="preserve"> &amp; Ors</w:t>
      </w:r>
      <w:r w:rsidR="001D33B5">
        <w:t xml:space="preserve"> </w:t>
      </w:r>
      <w:r w:rsidR="001D33B5" w:rsidRPr="001D33B5">
        <w:t>[2020] 3 IR 113</w:t>
      </w:r>
      <w:r w:rsidR="001D33B5">
        <w:rPr>
          <w:i/>
          <w:iCs/>
        </w:rPr>
        <w:t xml:space="preserve"> </w:t>
      </w:r>
      <w:r w:rsidR="001D33B5" w:rsidRPr="00246AC4">
        <w:t>at para 11 of O’Donnell J’s Judgment</w:t>
      </w:r>
      <w:r w:rsidR="00C45CE4">
        <w:t>.</w:t>
      </w:r>
    </w:p>
  </w:footnote>
  <w:footnote w:id="10">
    <w:p w14:paraId="3671B957" w14:textId="094FC2FD" w:rsidR="009E610F" w:rsidRDefault="009E610F">
      <w:pPr>
        <w:pStyle w:val="FootnoteText"/>
      </w:pPr>
      <w:r>
        <w:rPr>
          <w:rStyle w:val="FootnoteReference"/>
        </w:rPr>
        <w:footnoteRef/>
      </w:r>
      <w:r>
        <w:t xml:space="preserve"> </w:t>
      </w:r>
      <w:r>
        <w:rPr>
          <w:i/>
          <w:iCs/>
        </w:rPr>
        <w:t xml:space="preserve">Nolan v Minister for Justice &amp; Equality </w:t>
      </w:r>
      <w:r>
        <w:t>[2012] IEHC 249 at paragraph 124</w:t>
      </w:r>
      <w:r w:rsidR="00C45CE4">
        <w:t>.</w:t>
      </w:r>
    </w:p>
  </w:footnote>
  <w:footnote w:id="11">
    <w:p w14:paraId="5B2981A6" w14:textId="772756E2" w:rsidR="009E610F" w:rsidRDefault="009E610F">
      <w:pPr>
        <w:pStyle w:val="FootnoteText"/>
      </w:pPr>
      <w:r>
        <w:rPr>
          <w:rStyle w:val="FootnoteReference"/>
        </w:rPr>
        <w:footnoteRef/>
      </w:r>
      <w:r>
        <w:t xml:space="preserve"> </w:t>
      </w:r>
      <w:r>
        <w:rPr>
          <w:i/>
          <w:iCs/>
          <w:lang w:val="en-US"/>
        </w:rPr>
        <w:t xml:space="preserve">C.C v Ireland </w:t>
      </w:r>
      <w:r>
        <w:rPr>
          <w:lang w:val="en-US"/>
        </w:rPr>
        <w:t>[2006] 4 IR 1 at paragraph 44</w:t>
      </w:r>
      <w:r w:rsidR="00C45CE4">
        <w:rPr>
          <w:lang w:val="en-US"/>
        </w:rPr>
        <w:t>.</w:t>
      </w:r>
    </w:p>
  </w:footnote>
  <w:footnote w:id="12">
    <w:p w14:paraId="3C8A75A1" w14:textId="7D38627D" w:rsidR="00C80E26" w:rsidRDefault="00C80E26">
      <w:pPr>
        <w:pStyle w:val="FootnoteText"/>
      </w:pPr>
      <w:r>
        <w:rPr>
          <w:rStyle w:val="FootnoteReference"/>
        </w:rPr>
        <w:footnoteRef/>
      </w:r>
      <w:r>
        <w:t xml:space="preserve"> </w:t>
      </w:r>
      <w:r>
        <w:rPr>
          <w:i/>
          <w:iCs/>
        </w:rPr>
        <w:t xml:space="preserve">DPP v Forsey </w:t>
      </w:r>
      <w:r>
        <w:t>[2019] 2 IR 417</w:t>
      </w:r>
      <w:r w:rsidR="00C45CE4">
        <w:t>.</w:t>
      </w:r>
    </w:p>
  </w:footnote>
  <w:footnote w:id="13">
    <w:p w14:paraId="56911F79" w14:textId="68005092" w:rsidR="00C80E26" w:rsidRDefault="00C80E26">
      <w:pPr>
        <w:pStyle w:val="FootnoteText"/>
      </w:pPr>
      <w:r>
        <w:rPr>
          <w:rStyle w:val="FootnoteReference"/>
        </w:rPr>
        <w:footnoteRef/>
      </w:r>
      <w:r>
        <w:t xml:space="preserve"> </w:t>
      </w:r>
      <w:r>
        <w:rPr>
          <w:i/>
          <w:iCs/>
        </w:rPr>
        <w:t xml:space="preserve">DPP v Smyth </w:t>
      </w:r>
      <w:r>
        <w:t>[2010] IECCA 34.</w:t>
      </w:r>
    </w:p>
  </w:footnote>
  <w:footnote w:id="14">
    <w:p w14:paraId="20B9004B" w14:textId="58594E27" w:rsidR="00C80E26" w:rsidRDefault="00C80E26">
      <w:pPr>
        <w:pStyle w:val="FootnoteText"/>
      </w:pPr>
      <w:r>
        <w:rPr>
          <w:rStyle w:val="FootnoteReference"/>
        </w:rPr>
        <w:footnoteRef/>
      </w:r>
      <w:r>
        <w:t xml:space="preserve"> </w:t>
      </w:r>
      <w:r>
        <w:rPr>
          <w:i/>
          <w:iCs/>
        </w:rPr>
        <w:t xml:space="preserve">Donnelly v DPP </w:t>
      </w:r>
      <w:r>
        <w:t>[1997] WJSC – HC 703 at paragraph 39</w:t>
      </w:r>
      <w:r w:rsidR="00C45CE4">
        <w:t>.</w:t>
      </w:r>
    </w:p>
  </w:footnote>
  <w:footnote w:id="15">
    <w:p w14:paraId="2DB78E53" w14:textId="751807EE" w:rsidR="00C80E26" w:rsidRDefault="00C80E26">
      <w:pPr>
        <w:pStyle w:val="FootnoteText"/>
      </w:pPr>
      <w:r>
        <w:rPr>
          <w:rStyle w:val="FootnoteReference"/>
        </w:rPr>
        <w:footnoteRef/>
      </w:r>
      <w:r>
        <w:t xml:space="preserve"> </w:t>
      </w:r>
      <w:r>
        <w:rPr>
          <w:i/>
          <w:iCs/>
        </w:rPr>
        <w:t>Murray v Ireland</w:t>
      </w:r>
      <w:r>
        <w:t xml:space="preserve"> [1985] ILRM 542 at paragraph 17</w:t>
      </w:r>
      <w:r w:rsidR="00C45CE4">
        <w:t>.</w:t>
      </w:r>
    </w:p>
  </w:footnote>
  <w:footnote w:id="16">
    <w:p w14:paraId="67199A7D" w14:textId="35F52687" w:rsidR="00C80E26" w:rsidRDefault="00C80E26">
      <w:pPr>
        <w:pStyle w:val="FootnoteText"/>
      </w:pPr>
      <w:r>
        <w:rPr>
          <w:rStyle w:val="FootnoteReference"/>
        </w:rPr>
        <w:footnoteRef/>
      </w:r>
      <w:r>
        <w:t xml:space="preserve"> </w:t>
      </w:r>
      <w:r>
        <w:rPr>
          <w:i/>
          <w:iCs/>
        </w:rPr>
        <w:t>In the Matter of the Criminal Law (Jurisdiction) Bill, 1975</w:t>
      </w:r>
      <w:r>
        <w:t xml:space="preserve"> [1977] IR 129 at paragraph 70</w:t>
      </w:r>
      <w:r w:rsidR="00C45CE4">
        <w:t>.</w:t>
      </w:r>
    </w:p>
  </w:footnote>
  <w:footnote w:id="17">
    <w:p w14:paraId="31F01176" w14:textId="1443834F" w:rsidR="00C80E26" w:rsidRDefault="00C80E26">
      <w:pPr>
        <w:pStyle w:val="FootnoteText"/>
      </w:pPr>
      <w:r>
        <w:rPr>
          <w:rStyle w:val="FootnoteReference"/>
        </w:rPr>
        <w:footnoteRef/>
      </w:r>
      <w:r>
        <w:t xml:space="preserve"> </w:t>
      </w:r>
      <w:r>
        <w:rPr>
          <w:i/>
          <w:iCs/>
        </w:rPr>
        <w:t xml:space="preserve">Rock v Ireland </w:t>
      </w:r>
      <w:r>
        <w:t>[1997] 3 IR 484 at paragraph 94</w:t>
      </w:r>
      <w:r w:rsidR="00C45CE4">
        <w:t>.</w:t>
      </w:r>
    </w:p>
  </w:footnote>
  <w:footnote w:id="18">
    <w:p w14:paraId="7264DBB3" w14:textId="7D1138D9" w:rsidR="00C80E26" w:rsidRDefault="00C80E26">
      <w:pPr>
        <w:pStyle w:val="FootnoteText"/>
      </w:pPr>
      <w:r>
        <w:rPr>
          <w:rStyle w:val="FootnoteReference"/>
        </w:rPr>
        <w:footnoteRef/>
      </w:r>
      <w:r>
        <w:t xml:space="preserve"> </w:t>
      </w:r>
      <w:r w:rsidRPr="00C80E26">
        <w:rPr>
          <w:i/>
          <w:iCs/>
        </w:rPr>
        <w:t>Ibid</w:t>
      </w:r>
      <w:r>
        <w:t xml:space="preserve"> at paragraph 98</w:t>
      </w:r>
      <w:r w:rsidR="00C45CE4">
        <w:t>.</w:t>
      </w:r>
    </w:p>
  </w:footnote>
  <w:footnote w:id="19">
    <w:p w14:paraId="41368050" w14:textId="675B5C80" w:rsidR="00CE2E51" w:rsidRDefault="00CE2E51" w:rsidP="00187946">
      <w:pPr>
        <w:pStyle w:val="FootnoteText"/>
      </w:pPr>
      <w:r>
        <w:rPr>
          <w:rStyle w:val="FootnoteReference"/>
        </w:rPr>
        <w:footnoteRef/>
      </w:r>
      <w:r w:rsidR="009966D4">
        <w:rPr>
          <w:i/>
        </w:rPr>
        <w:t>The People (DPP) v Shaw</w:t>
      </w:r>
      <w:r>
        <w:t xml:space="preserve"> </w:t>
      </w:r>
      <w:r w:rsidRPr="009B2503">
        <w:rPr>
          <w:rFonts w:ascii="Times" w:hAnsi="Times" w:cs="Open Sans"/>
          <w:bCs/>
          <w:color w:val="000000" w:themeColor="text1"/>
          <w:lang w:val="en-US"/>
        </w:rPr>
        <w:t>[1982] IR 1</w:t>
      </w:r>
      <w:r>
        <w:rPr>
          <w:rFonts w:ascii="Times" w:hAnsi="Times" w:cs="Open Sans"/>
          <w:bCs/>
          <w:color w:val="000000" w:themeColor="text1"/>
          <w:lang w:val="en-US"/>
        </w:rPr>
        <w:t xml:space="preserve"> at p.56</w:t>
      </w:r>
      <w:r w:rsidR="00C45CE4">
        <w:rPr>
          <w:rFonts w:ascii="Times" w:hAnsi="Times" w:cs="Open Sans"/>
          <w:bCs/>
          <w:color w:val="000000" w:themeColor="text1"/>
          <w:lang w:val="en-US"/>
        </w:rPr>
        <w:t>.</w:t>
      </w:r>
    </w:p>
  </w:footnote>
  <w:footnote w:id="20">
    <w:p w14:paraId="01F062CE" w14:textId="73543A27" w:rsidR="001D33B5" w:rsidRDefault="001D33B5">
      <w:pPr>
        <w:pStyle w:val="FootnoteText"/>
      </w:pPr>
      <w:r>
        <w:rPr>
          <w:rStyle w:val="FootnoteReference"/>
        </w:rPr>
        <w:footnoteRef/>
      </w:r>
      <w:r>
        <w:t xml:space="preserve"> </w:t>
      </w:r>
      <w:r w:rsidRPr="00C45CE4">
        <w:rPr>
          <w:rStyle w:val="Emphasis"/>
          <w:color w:val="000000" w:themeColor="text1"/>
          <w:shd w:val="clear" w:color="auto" w:fill="FFFFFF"/>
        </w:rPr>
        <w:t xml:space="preserve">Sunday Newspapers Limited v Gilchrist and Rogers </w:t>
      </w:r>
      <w:hyperlink r:id="rId1" w:tgtFrame="_blank" w:tooltip="opens new window" w:history="1">
        <w:r w:rsidRPr="00C45CE4">
          <w:rPr>
            <w:rStyle w:val="Hyperlink"/>
            <w:color w:val="000000" w:themeColor="text1"/>
            <w:u w:val="none"/>
            <w:shd w:val="clear" w:color="auto" w:fill="FFFFFF"/>
          </w:rPr>
          <w:t>[2017] IESC 18</w:t>
        </w:r>
      </w:hyperlink>
      <w:r w:rsidRPr="00C45CE4">
        <w:rPr>
          <w:color w:val="000000" w:themeColor="text1"/>
          <w:shd w:val="clear" w:color="auto" w:fill="FFFFFF"/>
        </w:rPr>
        <w:t> at [36] to [40].</w:t>
      </w:r>
    </w:p>
  </w:footnote>
  <w:footnote w:id="21">
    <w:p w14:paraId="4C05D043" w14:textId="6E506FF6" w:rsidR="00CE2E51" w:rsidRDefault="00CE2E51" w:rsidP="009B2503">
      <w:pPr>
        <w:pStyle w:val="FootnoteText"/>
      </w:pPr>
      <w:r>
        <w:rPr>
          <w:rStyle w:val="FootnoteReference"/>
        </w:rPr>
        <w:footnoteRef/>
      </w:r>
      <w:r>
        <w:t xml:space="preserve"> </w:t>
      </w:r>
      <w:r w:rsidR="009966D4">
        <w:rPr>
          <w:i/>
        </w:rPr>
        <w:t xml:space="preserve">D v DPP </w:t>
      </w:r>
      <w:r>
        <w:t>[1994] 2 IR 465 at p. 474</w:t>
      </w:r>
      <w:r w:rsidR="00C45CE4">
        <w:t>.</w:t>
      </w:r>
    </w:p>
  </w:footnote>
  <w:footnote w:id="22">
    <w:p w14:paraId="1613862A" w14:textId="7AF7178A" w:rsidR="00CE2E51" w:rsidRDefault="00CE2E51" w:rsidP="009B2503">
      <w:pPr>
        <w:pStyle w:val="FootnoteText"/>
      </w:pPr>
      <w:r>
        <w:rPr>
          <w:rStyle w:val="FootnoteReference"/>
        </w:rPr>
        <w:footnoteRef/>
      </w:r>
      <w:r w:rsidR="009966D4">
        <w:t xml:space="preserve"> </w:t>
      </w:r>
      <w:r w:rsidR="009966D4">
        <w:rPr>
          <w:i/>
        </w:rPr>
        <w:t xml:space="preserve">Ibid. </w:t>
      </w:r>
      <w:r w:rsidR="009966D4">
        <w:t>a</w:t>
      </w:r>
      <w:r>
        <w:t>t p.467</w:t>
      </w:r>
      <w:r w:rsidR="00C45CE4">
        <w:t>.</w:t>
      </w:r>
    </w:p>
  </w:footnote>
  <w:footnote w:id="23">
    <w:p w14:paraId="5A07232A" w14:textId="70E38FC2" w:rsidR="00CE2E51" w:rsidRDefault="00CE2E51">
      <w:pPr>
        <w:pStyle w:val="FootnoteText"/>
      </w:pPr>
      <w:r>
        <w:rPr>
          <w:rStyle w:val="FootnoteReference"/>
        </w:rPr>
        <w:footnoteRef/>
      </w:r>
      <w:r w:rsidR="009966D4">
        <w:rPr>
          <w:i/>
        </w:rPr>
        <w:t>People (DPP) v Murray</w:t>
      </w:r>
      <w:r>
        <w:t xml:space="preserve"> [1977] IR 360</w:t>
      </w:r>
      <w:r w:rsidR="00C45CE4">
        <w:t>.</w:t>
      </w:r>
    </w:p>
  </w:footnote>
  <w:footnote w:id="24">
    <w:p w14:paraId="0E727484" w14:textId="6258799D" w:rsidR="00C80E26" w:rsidRDefault="00C80E26">
      <w:pPr>
        <w:pStyle w:val="FootnoteText"/>
      </w:pPr>
      <w:r>
        <w:rPr>
          <w:rStyle w:val="FootnoteReference"/>
        </w:rPr>
        <w:footnoteRef/>
      </w:r>
      <w:r>
        <w:t xml:space="preserve"> </w:t>
      </w:r>
      <w:r>
        <w:rPr>
          <w:i/>
          <w:iCs/>
        </w:rPr>
        <w:t xml:space="preserve">Case of K.U. v Finland, </w:t>
      </w:r>
      <w:r w:rsidR="00C45CE4">
        <w:t xml:space="preserve">(App </w:t>
      </w:r>
      <w:r>
        <w:t>no. 2872/02</w:t>
      </w:r>
      <w:r w:rsidR="00C45CE4">
        <w:t xml:space="preserve">) </w:t>
      </w:r>
      <w:r>
        <w:t>(02 December 2008) at paragraph 46</w:t>
      </w:r>
      <w:r w:rsidR="00C45CE4">
        <w:t>.</w:t>
      </w:r>
    </w:p>
  </w:footnote>
  <w:footnote w:id="25">
    <w:p w14:paraId="2454B109" w14:textId="2E5ED0A8" w:rsidR="00C80E26" w:rsidRDefault="00C80E26">
      <w:pPr>
        <w:pStyle w:val="FootnoteText"/>
      </w:pPr>
      <w:r>
        <w:rPr>
          <w:rStyle w:val="FootnoteReference"/>
        </w:rPr>
        <w:footnoteRef/>
      </w:r>
      <w:r>
        <w:rPr>
          <w:i/>
          <w:iCs/>
        </w:rPr>
        <w:t>Case of Deweer v Belgium</w:t>
      </w:r>
      <w:r>
        <w:t xml:space="preserve">, </w:t>
      </w:r>
      <w:r w:rsidR="00C45CE4">
        <w:t xml:space="preserve">(App </w:t>
      </w:r>
      <w:r>
        <w:t>no. 6903/75</w:t>
      </w:r>
      <w:r w:rsidR="00C45CE4">
        <w:t xml:space="preserve">) </w:t>
      </w:r>
      <w:r>
        <w:t>(27 February 1980) at paragraph 56</w:t>
      </w:r>
      <w:r w:rsidR="00C45CE4">
        <w:t>.</w:t>
      </w:r>
    </w:p>
  </w:footnote>
  <w:footnote w:id="26">
    <w:p w14:paraId="31404F9A" w14:textId="06777874" w:rsidR="00C80E26" w:rsidRDefault="00C80E26">
      <w:pPr>
        <w:pStyle w:val="FootnoteText"/>
      </w:pPr>
      <w:r>
        <w:rPr>
          <w:rStyle w:val="FootnoteReference"/>
        </w:rPr>
        <w:footnoteRef/>
      </w:r>
      <w:r>
        <w:t xml:space="preserve"> </w:t>
      </w:r>
      <w:r>
        <w:rPr>
          <w:i/>
          <w:iCs/>
        </w:rPr>
        <w:t xml:space="preserve">R v G </w:t>
      </w:r>
      <w:r>
        <w:t>[2008] UKHL 37 at paragraph 5</w:t>
      </w:r>
      <w:r w:rsidR="00C45CE4">
        <w:t>.</w:t>
      </w:r>
    </w:p>
  </w:footnote>
  <w:footnote w:id="27">
    <w:p w14:paraId="2E8519EB" w14:textId="562C0746" w:rsidR="00CE2E51" w:rsidRPr="00C45CE4" w:rsidRDefault="00CE2E51" w:rsidP="007A6D1E">
      <w:pPr>
        <w:pStyle w:val="FootnoteText"/>
        <w:rPr>
          <w:rFonts w:ascii="Times" w:hAnsi="Times"/>
          <w:i/>
          <w:iCs/>
        </w:rPr>
      </w:pPr>
      <w:r w:rsidRPr="00CF7F26">
        <w:rPr>
          <w:rStyle w:val="FootnoteReference"/>
          <w:rFonts w:ascii="Times" w:hAnsi="Times"/>
          <w:i/>
          <w:iCs/>
        </w:rPr>
        <w:footnoteRef/>
      </w:r>
      <w:r w:rsidRPr="00CF7F26">
        <w:rPr>
          <w:rFonts w:ascii="Times" w:hAnsi="Times"/>
          <w:i/>
          <w:iCs/>
        </w:rPr>
        <w:t xml:space="preserve"> </w:t>
      </w:r>
      <w:r w:rsidR="00C45CE4">
        <w:rPr>
          <w:rFonts w:ascii="Times" w:hAnsi="Times"/>
          <w:i/>
          <w:iCs/>
          <w:color w:val="000000" w:themeColor="text1"/>
        </w:rPr>
        <w:t>AG v Malta,</w:t>
      </w:r>
      <w:r w:rsidR="00C45CE4">
        <w:rPr>
          <w:rFonts w:ascii="Times" w:hAnsi="Times"/>
          <w:color w:val="000000" w:themeColor="text1"/>
        </w:rPr>
        <w:t xml:space="preserve"> (App</w:t>
      </w:r>
      <w:r w:rsidR="00C45CE4">
        <w:rPr>
          <w:rFonts w:ascii="Times" w:hAnsi="Times"/>
          <w:i/>
          <w:iCs/>
          <w:color w:val="000000" w:themeColor="text1"/>
        </w:rPr>
        <w:t xml:space="preserve"> </w:t>
      </w:r>
      <w:r w:rsidR="00C45CE4">
        <w:rPr>
          <w:rFonts w:ascii="Times" w:hAnsi="Times"/>
          <w:color w:val="000000" w:themeColor="text1"/>
        </w:rPr>
        <w:t xml:space="preserve">no. 1664/90), </w:t>
      </w:r>
      <w:r w:rsidR="00C45CE4" w:rsidRPr="005F6F79">
        <w:rPr>
          <w:rFonts w:ascii="Times" w:hAnsi="Times"/>
          <w:color w:val="000000" w:themeColor="text1"/>
        </w:rPr>
        <w:t>Bates</w:t>
      </w:r>
      <w:r w:rsidR="00C45CE4" w:rsidRPr="00E17595">
        <w:rPr>
          <w:rFonts w:ascii="Times" w:hAnsi="Times"/>
          <w:i/>
          <w:iCs/>
          <w:color w:val="000000" w:themeColor="text1"/>
        </w:rPr>
        <w:t xml:space="preserve"> v United Kingdom</w:t>
      </w:r>
      <w:r w:rsidR="00C45CE4">
        <w:rPr>
          <w:rFonts w:ascii="Times" w:hAnsi="Times"/>
          <w:i/>
          <w:iCs/>
          <w:color w:val="000000" w:themeColor="text1"/>
        </w:rPr>
        <w:t xml:space="preserve"> </w:t>
      </w:r>
      <w:r w:rsidR="00C45CE4">
        <w:rPr>
          <w:rFonts w:ascii="Times" w:hAnsi="Times"/>
          <w:color w:val="000000" w:themeColor="text1"/>
        </w:rPr>
        <w:t xml:space="preserve">[1996] E.H.R.L.R 312 </w:t>
      </w:r>
      <w:r w:rsidR="00C45CE4" w:rsidRPr="00E17595">
        <w:rPr>
          <w:rFonts w:ascii="Times" w:hAnsi="Times"/>
          <w:i/>
          <w:iCs/>
          <w:color w:val="000000" w:themeColor="text1"/>
        </w:rPr>
        <w:t>, Brown v United Kingdom</w:t>
      </w:r>
      <w:r w:rsidR="00C45CE4">
        <w:rPr>
          <w:rFonts w:ascii="Times" w:hAnsi="Times"/>
          <w:color w:val="000000" w:themeColor="text1"/>
        </w:rPr>
        <w:t>, (App no. 44233/98)</w:t>
      </w:r>
      <w:r w:rsidR="00C45CE4" w:rsidRPr="00E17595">
        <w:rPr>
          <w:rFonts w:ascii="Times" w:hAnsi="Times"/>
          <w:i/>
          <w:iCs/>
          <w:color w:val="000000" w:themeColor="text1"/>
        </w:rPr>
        <w:t>.</w:t>
      </w:r>
    </w:p>
  </w:footnote>
  <w:footnote w:id="28">
    <w:p w14:paraId="4340180C" w14:textId="0501C677" w:rsidR="00CE2E51" w:rsidRPr="00CF7F26" w:rsidRDefault="00CE2E51" w:rsidP="007A6D1E">
      <w:pPr>
        <w:pStyle w:val="FootnoteText"/>
        <w:rPr>
          <w:rFonts w:ascii="Times" w:hAnsi="Times"/>
          <w:i/>
          <w:iCs/>
        </w:rPr>
      </w:pPr>
      <w:r w:rsidRPr="00CF7F26">
        <w:rPr>
          <w:rStyle w:val="FootnoteReference"/>
          <w:rFonts w:ascii="Times" w:hAnsi="Times"/>
          <w:i/>
          <w:iCs/>
        </w:rPr>
        <w:footnoteRef/>
      </w:r>
      <w:r w:rsidRPr="00CF7F26">
        <w:rPr>
          <w:rFonts w:ascii="Times" w:hAnsi="Times"/>
          <w:i/>
          <w:iCs/>
        </w:rPr>
        <w:t xml:space="preserve"> </w:t>
      </w:r>
      <w:r w:rsidR="00C45CE4">
        <w:rPr>
          <w:rFonts w:ascii="Times" w:hAnsi="Times"/>
          <w:i/>
          <w:iCs/>
        </w:rPr>
        <w:t xml:space="preserve">Case of </w:t>
      </w:r>
      <w:r w:rsidR="00C80E26" w:rsidRPr="00CF7F26">
        <w:rPr>
          <w:rFonts w:ascii="Times" w:hAnsi="Times"/>
          <w:i/>
          <w:iCs/>
        </w:rPr>
        <w:t>H v United Kingdom</w:t>
      </w:r>
      <w:r w:rsidR="00C80E26">
        <w:rPr>
          <w:rFonts w:ascii="Times" w:hAnsi="Times"/>
          <w:i/>
          <w:iCs/>
        </w:rPr>
        <w:t xml:space="preserve">, </w:t>
      </w:r>
      <w:r w:rsidR="00C45CE4">
        <w:rPr>
          <w:rFonts w:ascii="Times" w:hAnsi="Times"/>
        </w:rPr>
        <w:t>(App no</w:t>
      </w:r>
      <w:r w:rsidR="00C80E26">
        <w:rPr>
          <w:rFonts w:ascii="Times" w:hAnsi="Times"/>
          <w:i/>
          <w:iCs/>
        </w:rPr>
        <w:t xml:space="preserve">. </w:t>
      </w:r>
      <w:r w:rsidR="00C80E26" w:rsidRPr="00C45CE4">
        <w:rPr>
          <w:rFonts w:ascii="Times" w:hAnsi="Times"/>
        </w:rPr>
        <w:t>9580/81</w:t>
      </w:r>
      <w:r w:rsidR="00C45CE4">
        <w:rPr>
          <w:rFonts w:ascii="Times" w:hAnsi="Times"/>
          <w:i/>
          <w:iCs/>
        </w:rPr>
        <w:t xml:space="preserve">) </w:t>
      </w:r>
      <w:r w:rsidR="00C45CE4">
        <w:rPr>
          <w:rFonts w:ascii="Times" w:hAnsi="Times"/>
        </w:rPr>
        <w:t>(0</w:t>
      </w:r>
      <w:r w:rsidR="00C80E26">
        <w:rPr>
          <w:rFonts w:ascii="Times" w:hAnsi="Times"/>
        </w:rPr>
        <w:t>9 June 1988)</w:t>
      </w:r>
      <w:r w:rsidR="00C45CE4">
        <w:rPr>
          <w:rFonts w:ascii="Times" w:hAnsi="Times"/>
        </w:rPr>
        <w:t>.</w:t>
      </w:r>
    </w:p>
  </w:footnote>
  <w:footnote w:id="29">
    <w:p w14:paraId="0CE76FBC" w14:textId="3DF236DD" w:rsidR="00CE2E51" w:rsidRPr="00CF7F26" w:rsidRDefault="00CE2E51" w:rsidP="007A6D1E">
      <w:pPr>
        <w:pStyle w:val="FootnoteText"/>
      </w:pPr>
      <w:r w:rsidRPr="00CF7F26">
        <w:rPr>
          <w:rStyle w:val="FootnoteReference"/>
          <w:rFonts w:ascii="Times" w:hAnsi="Times"/>
          <w:i/>
          <w:iCs/>
        </w:rPr>
        <w:footnoteRef/>
      </w:r>
      <w:r w:rsidRPr="00CF7F26">
        <w:rPr>
          <w:rFonts w:ascii="Times" w:hAnsi="Times"/>
          <w:i/>
          <w:iCs/>
        </w:rPr>
        <w:t xml:space="preserve"> </w:t>
      </w:r>
      <w:r w:rsidR="00C45CE4">
        <w:rPr>
          <w:rFonts w:ascii="Times" w:hAnsi="Times"/>
          <w:i/>
          <w:iCs/>
        </w:rPr>
        <w:t xml:space="preserve">Case of </w:t>
      </w:r>
      <w:r w:rsidR="00C80E26" w:rsidRPr="00CF7F26">
        <w:rPr>
          <w:rFonts w:ascii="Times" w:hAnsi="Times"/>
          <w:i/>
          <w:iCs/>
        </w:rPr>
        <w:t>Robinson v United Kingdom</w:t>
      </w:r>
      <w:r w:rsidR="00C80E26">
        <w:rPr>
          <w:rFonts w:ascii="Times" w:hAnsi="Times"/>
          <w:i/>
          <w:iCs/>
        </w:rPr>
        <w:t xml:space="preserve">, </w:t>
      </w:r>
      <w:r w:rsidR="00C45CE4">
        <w:rPr>
          <w:rFonts w:ascii="Times" w:hAnsi="Times"/>
        </w:rPr>
        <w:t>(App no</w:t>
      </w:r>
      <w:r w:rsidR="00C80E26">
        <w:rPr>
          <w:rFonts w:ascii="Times" w:hAnsi="Times"/>
          <w:i/>
          <w:iCs/>
        </w:rPr>
        <w:t xml:space="preserve">. </w:t>
      </w:r>
      <w:r w:rsidR="0024544D">
        <w:rPr>
          <w:rFonts w:ascii="Times" w:hAnsi="Times"/>
        </w:rPr>
        <w:t>20858</w:t>
      </w:r>
      <w:r w:rsidR="00C80E26" w:rsidRPr="00C45CE4">
        <w:rPr>
          <w:rFonts w:ascii="Times" w:hAnsi="Times"/>
        </w:rPr>
        <w:t>/</w:t>
      </w:r>
      <w:r w:rsidR="0024544D">
        <w:rPr>
          <w:rFonts w:ascii="Times" w:hAnsi="Times"/>
        </w:rPr>
        <w:t>9</w:t>
      </w:r>
      <w:r w:rsidR="00C80E26" w:rsidRPr="00C45CE4">
        <w:rPr>
          <w:rFonts w:ascii="Times" w:hAnsi="Times"/>
        </w:rPr>
        <w:t>2</w:t>
      </w:r>
      <w:r w:rsidR="00C45CE4">
        <w:rPr>
          <w:rFonts w:ascii="Times" w:hAnsi="Times"/>
        </w:rPr>
        <w:t xml:space="preserve">) </w:t>
      </w:r>
      <w:r w:rsidR="00C80E26">
        <w:rPr>
          <w:rFonts w:ascii="Times" w:hAnsi="Times"/>
        </w:rPr>
        <w:t>(</w:t>
      </w:r>
      <w:r w:rsidR="0024544D">
        <w:rPr>
          <w:rFonts w:ascii="Times" w:hAnsi="Times"/>
        </w:rPr>
        <w:t>5</w:t>
      </w:r>
      <w:r w:rsidR="00C80E26">
        <w:rPr>
          <w:rFonts w:ascii="Times" w:hAnsi="Times"/>
        </w:rPr>
        <w:t xml:space="preserve"> </w:t>
      </w:r>
      <w:r w:rsidR="0024544D">
        <w:rPr>
          <w:rFonts w:ascii="Times" w:hAnsi="Times"/>
        </w:rPr>
        <w:t>May</w:t>
      </w:r>
      <w:r w:rsidR="00C80E26">
        <w:rPr>
          <w:rFonts w:ascii="Times" w:hAnsi="Times"/>
        </w:rPr>
        <w:t xml:space="preserve"> </w:t>
      </w:r>
      <w:r w:rsidR="0024544D">
        <w:rPr>
          <w:rFonts w:ascii="Times" w:hAnsi="Times"/>
        </w:rPr>
        <w:t>1993</w:t>
      </w:r>
      <w:r w:rsidR="00C80E26">
        <w:rPr>
          <w:rFonts w:ascii="Times" w:hAnsi="Times"/>
        </w:rPr>
        <w:t>)</w:t>
      </w:r>
      <w:r w:rsidR="00C45CE4">
        <w:rPr>
          <w:rFonts w:ascii="Times" w:hAnsi="Times"/>
        </w:rPr>
        <w:t>.</w:t>
      </w:r>
    </w:p>
  </w:footnote>
  <w:footnote w:id="30">
    <w:p w14:paraId="144350F4" w14:textId="41F91B01" w:rsidR="00CE2E51" w:rsidRDefault="00CE2E51">
      <w:pPr>
        <w:pStyle w:val="FootnoteText"/>
      </w:pPr>
      <w:r>
        <w:rPr>
          <w:rStyle w:val="FootnoteReference"/>
        </w:rPr>
        <w:footnoteRef/>
      </w:r>
      <w:r>
        <w:t xml:space="preserve"> </w:t>
      </w:r>
      <w:r w:rsidR="00C45CE4">
        <w:t xml:space="preserve">Case of </w:t>
      </w:r>
      <w:r w:rsidR="006B680A" w:rsidRPr="000D2DFE">
        <w:rPr>
          <w:rFonts w:ascii="Times" w:hAnsi="Times"/>
          <w:i/>
          <w:iCs/>
        </w:rPr>
        <w:t>Pham Hoang v France</w:t>
      </w:r>
      <w:r w:rsidR="006B680A">
        <w:rPr>
          <w:rFonts w:ascii="Times" w:hAnsi="Times"/>
          <w:i/>
          <w:iCs/>
        </w:rPr>
        <w:t xml:space="preserve">, no. 1319/87 </w:t>
      </w:r>
      <w:r w:rsidR="006B680A">
        <w:rPr>
          <w:rFonts w:ascii="Times" w:hAnsi="Times"/>
        </w:rPr>
        <w:t>(25 September 1992</w:t>
      </w:r>
      <w:r w:rsidR="00C45CE4">
        <w:rPr>
          <w:rFonts w:ascii="Times" w:hAnsi="Times"/>
        </w:rPr>
        <w:t>).</w:t>
      </w:r>
    </w:p>
  </w:footnote>
  <w:footnote w:id="31">
    <w:p w14:paraId="55562011" w14:textId="599C51C5" w:rsidR="00CE2E51" w:rsidRDefault="006B680A">
      <w:pPr>
        <w:pStyle w:val="FootnoteText"/>
      </w:pPr>
      <w:r>
        <w:rPr>
          <w:rStyle w:val="FootnoteReference"/>
        </w:rPr>
        <w:footnoteRef/>
      </w:r>
      <w:r w:rsidR="00CE2E51">
        <w:t xml:space="preserve"> </w:t>
      </w:r>
      <w:r>
        <w:t xml:space="preserve">For example, </w:t>
      </w:r>
      <w:r w:rsidRPr="00D62F13">
        <w:rPr>
          <w:rFonts w:ascii="Times" w:hAnsi="Times"/>
          <w:i/>
          <w:iCs/>
        </w:rPr>
        <w:t xml:space="preserve">Telfner </w:t>
      </w:r>
      <w:r w:rsidRPr="004870D7">
        <w:rPr>
          <w:i/>
          <w:iCs/>
        </w:rPr>
        <w:t>v Austria</w:t>
      </w:r>
      <w:r w:rsidRPr="004870D7">
        <w:t xml:space="preserve">, </w:t>
      </w:r>
      <w:r w:rsidRPr="004870D7">
        <w:rPr>
          <w:i/>
          <w:iCs/>
        </w:rPr>
        <w:t xml:space="preserve">no. 33501/96 </w:t>
      </w:r>
      <w:r w:rsidRPr="004870D7">
        <w:t>(20 March 2001).</w:t>
      </w:r>
      <w:bookmarkStart w:id="8" w:name="_GoBack"/>
      <w:bookmarkEnd w:id="8"/>
    </w:p>
  </w:footnote>
  <w:footnote w:id="32">
    <w:p w14:paraId="79064237" w14:textId="32194CB7" w:rsidR="006B680A" w:rsidRDefault="006B680A">
      <w:pPr>
        <w:pStyle w:val="FootnoteText"/>
      </w:pPr>
      <w:r>
        <w:rPr>
          <w:rStyle w:val="FootnoteReference"/>
        </w:rPr>
        <w:footnoteRef/>
      </w:r>
      <w:r>
        <w:t xml:space="preserve"> </w:t>
      </w:r>
      <w:r w:rsidRPr="004870D7">
        <w:rPr>
          <w:i/>
          <w:iCs/>
        </w:rPr>
        <w:t xml:space="preserve">G.I.E.M. and Others v Italy, no. 1828/06 </w:t>
      </w:r>
      <w:r w:rsidRPr="004870D7">
        <w:t>(28 June 2018).</w:t>
      </w:r>
    </w:p>
  </w:footnote>
  <w:footnote w:id="33">
    <w:p w14:paraId="7EA663C0" w14:textId="497E323B" w:rsidR="006B680A" w:rsidRDefault="006B680A">
      <w:pPr>
        <w:pStyle w:val="FootnoteText"/>
      </w:pPr>
      <w:r>
        <w:rPr>
          <w:rStyle w:val="FootnoteReference"/>
        </w:rPr>
        <w:footnoteRef/>
      </w:r>
      <w:r>
        <w:t xml:space="preserve"> </w:t>
      </w:r>
      <w:r w:rsidRPr="00754997">
        <w:rPr>
          <w:i/>
          <w:iCs/>
          <w:color w:val="000000" w:themeColor="text1"/>
          <w:shd w:val="clear" w:color="auto" w:fill="FFFFFF"/>
        </w:rPr>
        <w:t xml:space="preserve">S v Mbatha, S v Prinsloo </w:t>
      </w:r>
      <w:r w:rsidRPr="00754997">
        <w:rPr>
          <w:color w:val="000000" w:themeColor="text1"/>
          <w:shd w:val="clear" w:color="auto" w:fill="FFFFFF"/>
        </w:rPr>
        <w:t>(CCT 19/95; CCT 35/95) [1996] ZACC 1 (9 February 1996)</w:t>
      </w:r>
      <w:r>
        <w:rPr>
          <w:color w:val="000000" w:themeColor="text1"/>
          <w:shd w:val="clear" w:color="auto" w:fill="FFFFFF"/>
        </w:rPr>
        <w:t xml:space="preserve"> at paragraph 10.</w:t>
      </w:r>
    </w:p>
  </w:footnote>
  <w:footnote w:id="34">
    <w:p w14:paraId="35EC234B" w14:textId="193F2C93" w:rsidR="006B680A" w:rsidRDefault="006B680A">
      <w:pPr>
        <w:pStyle w:val="FootnoteText"/>
      </w:pPr>
      <w:r>
        <w:rPr>
          <w:rStyle w:val="FootnoteReference"/>
        </w:rPr>
        <w:footnoteRef/>
      </w:r>
      <w:r>
        <w:t xml:space="preserve"> </w:t>
      </w:r>
      <w:r w:rsidRPr="004870D7">
        <w:rPr>
          <w:i/>
          <w:iCs/>
        </w:rPr>
        <w:t xml:space="preserve">C.W. v The Minister for Justice </w:t>
      </w:r>
      <w:r w:rsidRPr="004870D7">
        <w:t>[2022] IEHC 336</w:t>
      </w:r>
      <w:r w:rsidRPr="004870D7">
        <w:rPr>
          <w:i/>
          <w:iCs/>
        </w:rPr>
        <w:t xml:space="preserve"> </w:t>
      </w:r>
      <w:r w:rsidRPr="004870D7">
        <w:rPr>
          <w:lang w:val="en-US"/>
        </w:rPr>
        <w:t>at paragraph 47</w:t>
      </w:r>
      <w:r>
        <w:rPr>
          <w:lang w:val="en-US"/>
        </w:rPr>
        <w:t>.</w:t>
      </w:r>
    </w:p>
  </w:footnote>
  <w:footnote w:id="35">
    <w:p w14:paraId="69B704D0" w14:textId="5BEA86EC" w:rsidR="006B680A" w:rsidRDefault="006B680A">
      <w:pPr>
        <w:pStyle w:val="FootnoteText"/>
      </w:pPr>
      <w:r>
        <w:rPr>
          <w:rStyle w:val="FootnoteReference"/>
        </w:rPr>
        <w:footnoteRef/>
      </w:r>
      <w:r>
        <w:t xml:space="preserve"> </w:t>
      </w:r>
      <w:r>
        <w:rPr>
          <w:i/>
          <w:iCs/>
        </w:rPr>
        <w:t xml:space="preserve">Re Winship </w:t>
      </w:r>
      <w:r>
        <w:t>397 U.S. 358 (1970) at p.364</w:t>
      </w:r>
    </w:p>
  </w:footnote>
  <w:footnote w:id="36">
    <w:p w14:paraId="701290DA" w14:textId="552ECC5D" w:rsidR="006B680A" w:rsidRPr="00C45CE4" w:rsidRDefault="006B680A">
      <w:pPr>
        <w:pStyle w:val="FootnoteText"/>
      </w:pPr>
      <w:r>
        <w:rPr>
          <w:rStyle w:val="FootnoteReference"/>
        </w:rPr>
        <w:footnoteRef/>
      </w:r>
      <w:r>
        <w:t xml:space="preserve"> </w:t>
      </w:r>
      <w:r w:rsidRPr="006B680A">
        <w:rPr>
          <w:i/>
          <w:iCs/>
        </w:rPr>
        <w:t>Ibid</w:t>
      </w:r>
      <w:r>
        <w:rPr>
          <w:i/>
          <w:iCs/>
        </w:rPr>
        <w:t>.</w:t>
      </w:r>
      <w:r w:rsidR="00C45CE4">
        <w:rPr>
          <w:i/>
          <w:iCs/>
        </w:rPr>
        <w:t xml:space="preserve"> </w:t>
      </w:r>
    </w:p>
  </w:footnote>
  <w:footnote w:id="37">
    <w:p w14:paraId="4C3586E0" w14:textId="5E6EFE7C" w:rsidR="006B680A" w:rsidRDefault="006B680A">
      <w:pPr>
        <w:pStyle w:val="FootnoteText"/>
      </w:pPr>
      <w:r>
        <w:rPr>
          <w:rStyle w:val="FootnoteReference"/>
        </w:rPr>
        <w:footnoteRef/>
      </w:r>
      <w:r>
        <w:t xml:space="preserve"> </w:t>
      </w:r>
      <w:r>
        <w:rPr>
          <w:i/>
          <w:iCs/>
        </w:rPr>
        <w:t>Mullaney v Wilbur</w:t>
      </w:r>
      <w:r>
        <w:t>, 421 U.S. 684 (1975).</w:t>
      </w:r>
    </w:p>
  </w:footnote>
  <w:footnote w:id="38">
    <w:p w14:paraId="7339B990" w14:textId="38D8DBD1" w:rsidR="006B680A" w:rsidRPr="00C45CE4" w:rsidRDefault="006B680A">
      <w:pPr>
        <w:pStyle w:val="FootnoteText"/>
        <w:rPr>
          <w:lang w:val="de-DE"/>
        </w:rPr>
      </w:pPr>
      <w:r>
        <w:rPr>
          <w:rStyle w:val="FootnoteReference"/>
        </w:rPr>
        <w:footnoteRef/>
      </w:r>
      <w:r w:rsidRPr="00C45CE4">
        <w:rPr>
          <w:lang w:val="de-DE"/>
        </w:rPr>
        <w:t xml:space="preserve"> </w:t>
      </w:r>
      <w:r w:rsidRPr="00C45CE4">
        <w:rPr>
          <w:i/>
          <w:iCs/>
          <w:lang w:val="de-DE"/>
        </w:rPr>
        <w:t xml:space="preserve">DPP v Heffernan </w:t>
      </w:r>
      <w:r w:rsidRPr="00C45CE4">
        <w:rPr>
          <w:lang w:val="de-DE"/>
        </w:rPr>
        <w:t>[2017] 1 I.R. 82.</w:t>
      </w:r>
    </w:p>
  </w:footnote>
  <w:footnote w:id="39">
    <w:p w14:paraId="4C6764CB" w14:textId="45FA8D75" w:rsidR="006B680A" w:rsidRDefault="006B680A">
      <w:pPr>
        <w:pStyle w:val="FootnoteText"/>
      </w:pPr>
      <w:r>
        <w:rPr>
          <w:rStyle w:val="FootnoteReference"/>
        </w:rPr>
        <w:footnoteRef/>
      </w:r>
      <w:r>
        <w:t xml:space="preserve"> </w:t>
      </w:r>
      <w:r w:rsidR="008A2CAF">
        <w:rPr>
          <w:i/>
          <w:iCs/>
        </w:rPr>
        <w:t>Patterson v New York</w:t>
      </w:r>
      <w:r>
        <w:rPr>
          <w:i/>
          <w:iCs/>
        </w:rPr>
        <w:t xml:space="preserve"> </w:t>
      </w:r>
      <w:r>
        <w:t>432 U.S. 197.</w:t>
      </w:r>
    </w:p>
  </w:footnote>
  <w:footnote w:id="40">
    <w:p w14:paraId="5182E28A" w14:textId="3BB4559C" w:rsidR="006B680A" w:rsidRPr="00C45CE4" w:rsidRDefault="006B680A">
      <w:pPr>
        <w:pStyle w:val="FootnoteText"/>
      </w:pPr>
      <w:r>
        <w:rPr>
          <w:rStyle w:val="FootnoteReference"/>
        </w:rPr>
        <w:footnoteRef/>
      </w:r>
      <w:r w:rsidR="00C45CE4">
        <w:rPr>
          <w:i/>
          <w:iCs/>
        </w:rPr>
        <w:t xml:space="preserve"> </w:t>
      </w:r>
      <w:r w:rsidRPr="00C45CE4">
        <w:rPr>
          <w:i/>
          <w:iCs/>
        </w:rPr>
        <w:t xml:space="preserve">R v Whyte </w:t>
      </w:r>
      <w:r w:rsidR="008A2CAF">
        <w:t xml:space="preserve">[1988] </w:t>
      </w:r>
      <w:r w:rsidRPr="00C45CE4">
        <w:t>86 N.S. 328 (SCC) at 493</w:t>
      </w:r>
      <w:r w:rsidR="00C45CE4">
        <w:t>.</w:t>
      </w:r>
    </w:p>
  </w:footnote>
  <w:footnote w:id="41">
    <w:p w14:paraId="2E29EA02" w14:textId="57FC18FF" w:rsidR="006B680A" w:rsidRDefault="006B680A">
      <w:pPr>
        <w:pStyle w:val="FootnoteText"/>
      </w:pPr>
      <w:r w:rsidRPr="00C45CE4">
        <w:rPr>
          <w:rStyle w:val="FootnoteReference"/>
        </w:rPr>
        <w:footnoteRef/>
      </w:r>
      <w:r w:rsidRPr="00C45CE4">
        <w:t xml:space="preserve"> </w:t>
      </w:r>
      <w:r w:rsidRPr="00C45CE4">
        <w:rPr>
          <w:i/>
          <w:iCs/>
        </w:rPr>
        <w:t xml:space="preserve">R v Johnstone </w:t>
      </w:r>
      <w:r w:rsidRPr="00C45CE4">
        <w:rPr>
          <w:rFonts w:eastAsiaTheme="minorHAnsi"/>
          <w:lang w:val="en-GB" w:eastAsia="en-US"/>
        </w:rPr>
        <w:t xml:space="preserve">[2003] 1 W.L.R. 1736 </w:t>
      </w:r>
      <w:r w:rsidRPr="00C45CE4">
        <w:t>at paragraph 50.</w:t>
      </w:r>
    </w:p>
  </w:footnote>
  <w:footnote w:id="42">
    <w:p w14:paraId="0B73019B" w14:textId="562128FB" w:rsidR="006B680A" w:rsidRDefault="006B680A">
      <w:pPr>
        <w:pStyle w:val="FootnoteText"/>
      </w:pPr>
      <w:r>
        <w:rPr>
          <w:rStyle w:val="FootnoteReference"/>
        </w:rPr>
        <w:footnoteRef/>
      </w:r>
      <w:r>
        <w:t xml:space="preserve"> </w:t>
      </w:r>
      <w:r w:rsidR="00190279" w:rsidRPr="00BB0ED5">
        <w:rPr>
          <w:i/>
          <w:iCs/>
        </w:rPr>
        <w:t xml:space="preserve">Momcilovic v The Queen </w:t>
      </w:r>
      <w:r w:rsidR="00190279" w:rsidRPr="00BB0ED5">
        <w:t>(2011) 245 CLR 1</w:t>
      </w:r>
      <w:r w:rsidR="00190279" w:rsidRPr="00BB0ED5">
        <w:rPr>
          <w:rFonts w:ascii="GillSansMT" w:hAnsi="GillSansMT"/>
          <w:sz w:val="28"/>
          <w:szCs w:val="28"/>
        </w:rPr>
        <w:t xml:space="preserve"> </w:t>
      </w:r>
      <w:r w:rsidR="00190279">
        <w:t>at paragraph 467</w:t>
      </w:r>
    </w:p>
  </w:footnote>
  <w:footnote w:id="43">
    <w:p w14:paraId="48B7092E" w14:textId="6641F7D5" w:rsidR="00190279" w:rsidRPr="00190279" w:rsidRDefault="00CE2E51" w:rsidP="00190279">
      <w:pPr>
        <w:jc w:val="both"/>
        <w:rPr>
          <w:rFonts w:ascii="Times" w:hAnsi="Times"/>
          <w:i/>
          <w:iCs/>
          <w:color w:val="000000" w:themeColor="text1"/>
          <w:sz w:val="20"/>
          <w:szCs w:val="20"/>
        </w:rPr>
      </w:pPr>
      <w:r w:rsidRPr="00335BBC">
        <w:rPr>
          <w:rStyle w:val="FootnoteReference"/>
          <w:sz w:val="20"/>
          <w:szCs w:val="20"/>
        </w:rPr>
        <w:footnoteRef/>
      </w:r>
      <w:r w:rsidR="00190279">
        <w:rPr>
          <w:rFonts w:ascii="Times" w:hAnsi="Times"/>
          <w:i/>
          <w:iCs/>
          <w:color w:val="000000" w:themeColor="text1"/>
          <w:sz w:val="20"/>
          <w:szCs w:val="20"/>
        </w:rPr>
        <w:t xml:space="preserve"> Ibid. </w:t>
      </w:r>
      <w:r w:rsidR="00190279" w:rsidRPr="00190279">
        <w:rPr>
          <w:rFonts w:ascii="Times" w:hAnsi="Times"/>
          <w:i/>
          <w:iCs/>
          <w:color w:val="000000" w:themeColor="text1"/>
          <w:sz w:val="20"/>
          <w:szCs w:val="20"/>
        </w:rPr>
        <w:t xml:space="preserve"> </w:t>
      </w:r>
      <w:r w:rsidR="00190279" w:rsidRPr="00190279">
        <w:rPr>
          <w:rFonts w:ascii="Times" w:hAnsi="Times"/>
          <w:color w:val="000000" w:themeColor="text1"/>
          <w:sz w:val="20"/>
          <w:szCs w:val="20"/>
        </w:rPr>
        <w:t xml:space="preserve">In the context of certain online sexual offences against children, Australian law has also placed a legal burden on the accused to show that they did not intend to derive gratification from the presence of a child during sexual activity. The Australian Law Reform Commission has recommended reform in this area, with particular attention being paid to those provisions which reverse the burden in respect of essential elements of culpability, as these require the ‘strongest justification’. </w:t>
      </w:r>
    </w:p>
    <w:p w14:paraId="30975541" w14:textId="30E7F3D1" w:rsidR="00CE2E51" w:rsidRPr="00190279" w:rsidRDefault="00CE2E51" w:rsidP="00190279">
      <w:pPr>
        <w:jc w:val="both"/>
        <w:rPr>
          <w:rFonts w:ascii="Times" w:hAnsi="Times"/>
          <w:i/>
          <w:iCs/>
          <w:color w:val="000000" w:themeColor="text1"/>
          <w:sz w:val="20"/>
          <w:szCs w:val="20"/>
        </w:rPr>
      </w:pPr>
    </w:p>
    <w:p w14:paraId="520941F2" w14:textId="38AE6366" w:rsidR="00CE2E51" w:rsidRDefault="00CE2E51">
      <w:pPr>
        <w:pStyle w:val="FootnoteText"/>
      </w:pPr>
    </w:p>
  </w:footnote>
  <w:footnote w:id="44">
    <w:p w14:paraId="68F02666" w14:textId="0FD9F5F8" w:rsidR="00CE2E51" w:rsidRDefault="00CE2E51">
      <w:pPr>
        <w:pStyle w:val="FootnoteText"/>
      </w:pPr>
      <w:r>
        <w:rPr>
          <w:rStyle w:val="FootnoteReference"/>
        </w:rPr>
        <w:footnoteRef/>
      </w:r>
      <w:r>
        <w:t xml:space="preserve"> </w:t>
      </w:r>
      <w:r w:rsidRPr="006F2864">
        <w:rPr>
          <w:rFonts w:ascii="Times" w:hAnsi="Times" w:cs="Open Sans"/>
          <w:color w:val="000000"/>
        </w:rPr>
        <w:t xml:space="preserve">At the state level however, the burden can still be apportioned as the legislature sees fit. </w:t>
      </w:r>
      <w:r>
        <w:rPr>
          <w:rFonts w:ascii="Times" w:hAnsi="Times" w:cs="Open Sans"/>
          <w:color w:val="000000"/>
        </w:rPr>
        <w:t>F</w:t>
      </w:r>
      <w:r w:rsidRPr="006F2864">
        <w:rPr>
          <w:rFonts w:ascii="Times" w:hAnsi="Times" w:cs="Open Sans"/>
          <w:color w:val="000000"/>
        </w:rPr>
        <w:t xml:space="preserve">or a time in the state of Oregon, the legal burden placed on the accused was actually to the standard of beyond reasonable doubt. Somewhat surprisingly, the Supreme Court upheld that burden as constitutional in </w:t>
      </w:r>
      <w:r w:rsidRPr="006F2864">
        <w:rPr>
          <w:rFonts w:ascii="Times" w:hAnsi="Times" w:cs="Open Sans"/>
          <w:i/>
          <w:iCs/>
          <w:color w:val="000000"/>
        </w:rPr>
        <w:t>Leland v Oregon</w:t>
      </w:r>
      <w:r w:rsidR="00C307BD">
        <w:rPr>
          <w:rFonts w:ascii="Times" w:hAnsi="Times" w:cs="Open Sans"/>
          <w:i/>
          <w:iCs/>
          <w:color w:val="000000"/>
        </w:rPr>
        <w:t xml:space="preserve">, </w:t>
      </w:r>
      <w:r w:rsidR="00C307BD">
        <w:rPr>
          <w:rFonts w:ascii="Times" w:hAnsi="Times" w:cs="Open Sans"/>
          <w:color w:val="000000"/>
        </w:rPr>
        <w:t>343 U.S. 790 (1952)</w:t>
      </w:r>
      <w:r>
        <w:rPr>
          <w:rFonts w:ascii="Times" w:hAnsi="Times" w:cs="Open Sans"/>
          <w:i/>
          <w:iCs/>
          <w:color w:val="000000"/>
        </w:rPr>
        <w:t>.</w:t>
      </w:r>
      <w:r w:rsidRPr="006F2864">
        <w:rPr>
          <w:rFonts w:ascii="Times" w:hAnsi="Times" w:cs="Open Sans"/>
          <w:color w:val="000000"/>
        </w:rPr>
        <w:t xml:space="preserve"> </w:t>
      </w:r>
    </w:p>
  </w:footnote>
  <w:footnote w:id="45">
    <w:p w14:paraId="4A528F30" w14:textId="2F283E29" w:rsidR="00190279" w:rsidRPr="00190279" w:rsidRDefault="00190279">
      <w:pPr>
        <w:pStyle w:val="FootnoteText"/>
        <w:rPr>
          <w:lang w:val="de-DE"/>
        </w:rPr>
      </w:pPr>
      <w:r>
        <w:rPr>
          <w:rStyle w:val="FootnoteReference"/>
        </w:rPr>
        <w:footnoteRef/>
      </w:r>
      <w:r w:rsidRPr="00190279">
        <w:rPr>
          <w:lang w:val="de-DE"/>
        </w:rPr>
        <w:t xml:space="preserve"> </w:t>
      </w:r>
      <w:r w:rsidRPr="00190279">
        <w:rPr>
          <w:i/>
          <w:iCs/>
          <w:lang w:val="de-DE"/>
        </w:rPr>
        <w:t xml:space="preserve">DPP v Heffernan </w:t>
      </w:r>
      <w:r w:rsidRPr="00190279">
        <w:rPr>
          <w:lang w:val="de-DE"/>
        </w:rPr>
        <w:t>[2017] 1 I.R. 82.</w:t>
      </w:r>
    </w:p>
  </w:footnote>
  <w:footnote w:id="46">
    <w:p w14:paraId="7D1ED7F5" w14:textId="5B2C238A" w:rsidR="00190279" w:rsidRPr="00190279" w:rsidRDefault="00190279">
      <w:pPr>
        <w:pStyle w:val="FootnoteText"/>
      </w:pPr>
      <w:r>
        <w:rPr>
          <w:rStyle w:val="FootnoteReference"/>
        </w:rPr>
        <w:footnoteRef/>
      </w:r>
      <w:r>
        <w:t xml:space="preserve"> </w:t>
      </w:r>
      <w:r>
        <w:rPr>
          <w:i/>
          <w:iCs/>
        </w:rPr>
        <w:t xml:space="preserve">The People (at the suit of the DPP) v Yusif Ali Abdi </w:t>
      </w:r>
      <w:r>
        <w:t xml:space="preserve">[2022] 2 ILRM 1. </w:t>
      </w:r>
    </w:p>
  </w:footnote>
  <w:footnote w:id="47">
    <w:p w14:paraId="207AF850" w14:textId="64491296" w:rsidR="00190279" w:rsidRPr="00190279" w:rsidRDefault="00190279">
      <w:pPr>
        <w:pStyle w:val="FootnoteText"/>
      </w:pPr>
      <w:r>
        <w:rPr>
          <w:rStyle w:val="FootnoteReference"/>
        </w:rPr>
        <w:footnoteRef/>
      </w:r>
      <w:r>
        <w:t xml:space="preserve"> </w:t>
      </w:r>
      <w:r w:rsidRPr="000E6108">
        <w:rPr>
          <w:i/>
          <w:iCs/>
          <w:color w:val="000000" w:themeColor="text1"/>
        </w:rPr>
        <w:t xml:space="preserve">Supra </w:t>
      </w:r>
      <w:r w:rsidRPr="000E6108">
        <w:rPr>
          <w:color w:val="000000" w:themeColor="text1"/>
        </w:rPr>
        <w:t>note 1</w:t>
      </w:r>
      <w:r w:rsidR="000E6108" w:rsidRPr="000E6108">
        <w:rPr>
          <w:color w:val="000000" w:themeColor="text1"/>
        </w:rPr>
        <w:t xml:space="preserve">. </w:t>
      </w:r>
    </w:p>
  </w:footnote>
  <w:footnote w:id="48">
    <w:p w14:paraId="67F3A5C1" w14:textId="76EF19CF" w:rsidR="00CE2E51" w:rsidRDefault="00CE2E51">
      <w:pPr>
        <w:pStyle w:val="FootnoteText"/>
      </w:pPr>
      <w:r>
        <w:rPr>
          <w:rStyle w:val="FootnoteReference"/>
        </w:rPr>
        <w:footnoteRef/>
      </w:r>
      <w:r>
        <w:t xml:space="preserve"> </w:t>
      </w:r>
      <w:r>
        <w:rPr>
          <w:rFonts w:ascii="Times" w:hAnsi="Times"/>
        </w:rPr>
        <w:t xml:space="preserve">There is even an example of a jury convicting an accused, notwithstanding that the prosecution had supported the insanity defence: </w:t>
      </w:r>
      <w:r w:rsidRPr="00F10A74">
        <w:rPr>
          <w:rFonts w:ascii="Times" w:hAnsi="Times"/>
          <w:i/>
          <w:iCs/>
        </w:rPr>
        <w:t>DPP v Alchimionek</w:t>
      </w:r>
      <w:r w:rsidR="00C307BD">
        <w:rPr>
          <w:rFonts w:ascii="Times" w:hAnsi="Times"/>
          <w:i/>
          <w:iCs/>
        </w:rPr>
        <w:t xml:space="preserve"> </w:t>
      </w:r>
      <w:r w:rsidR="00C307BD">
        <w:rPr>
          <w:rFonts w:ascii="Times" w:hAnsi="Times"/>
        </w:rPr>
        <w:t>[2019] IECA 49</w:t>
      </w:r>
      <w:r>
        <w:rPr>
          <w:rFonts w:ascii="Times" w:hAnsi="Times"/>
        </w:rPr>
        <w:t>.</w:t>
      </w:r>
    </w:p>
  </w:footnote>
  <w:footnote w:id="49">
    <w:p w14:paraId="481A3EAE" w14:textId="6122024E" w:rsidR="00190279" w:rsidRPr="00190279" w:rsidRDefault="00190279">
      <w:pPr>
        <w:pStyle w:val="FootnoteText"/>
        <w:rPr>
          <w:lang w:val="en-US"/>
        </w:rPr>
      </w:pPr>
      <w:r>
        <w:rPr>
          <w:rStyle w:val="FootnoteReference"/>
        </w:rPr>
        <w:footnoteRef/>
      </w:r>
      <w:r>
        <w:t xml:space="preserve"> </w:t>
      </w:r>
      <w:r>
        <w:rPr>
          <w:i/>
          <w:iCs/>
        </w:rPr>
        <w:t xml:space="preserve">Patterson v New York, </w:t>
      </w:r>
      <w:r>
        <w:t>432 U.S. 197</w:t>
      </w:r>
      <w:r w:rsidR="004412EB">
        <w:t xml:space="preserve"> at 224. </w:t>
      </w:r>
    </w:p>
  </w:footnote>
  <w:footnote w:id="50">
    <w:p w14:paraId="49D2D4CB" w14:textId="2F9F1DAF" w:rsidR="00190279" w:rsidRPr="00190279" w:rsidRDefault="00190279">
      <w:pPr>
        <w:pStyle w:val="FootnoteText"/>
        <w:rPr>
          <w:lang w:val="en-US"/>
        </w:rPr>
      </w:pPr>
      <w:r>
        <w:rPr>
          <w:rStyle w:val="FootnoteReference"/>
        </w:rPr>
        <w:footnoteRef/>
      </w:r>
      <w:r>
        <w:t xml:space="preserve"> </w:t>
      </w:r>
      <w:r>
        <w:rPr>
          <w:i/>
          <w:iCs/>
        </w:rPr>
        <w:t xml:space="preserve">Ibid. </w:t>
      </w:r>
      <w:r>
        <w:t>at p.2</w:t>
      </w:r>
      <w:r w:rsidR="004412EB">
        <w:t>08</w:t>
      </w:r>
      <w:r>
        <w:t>.</w:t>
      </w:r>
    </w:p>
  </w:footnote>
  <w:footnote w:id="51">
    <w:p w14:paraId="3A197DFA" w14:textId="758830E8" w:rsidR="004412EB" w:rsidRPr="004412EB" w:rsidRDefault="004412EB">
      <w:pPr>
        <w:pStyle w:val="FootnoteText"/>
        <w:rPr>
          <w:i/>
          <w:iCs/>
          <w:lang w:val="en-US"/>
        </w:rPr>
      </w:pPr>
      <w:r>
        <w:rPr>
          <w:rStyle w:val="FootnoteReference"/>
        </w:rPr>
        <w:footnoteRef/>
      </w:r>
      <w:r>
        <w:t xml:space="preserve"> </w:t>
      </w:r>
      <w:r>
        <w:rPr>
          <w:i/>
          <w:iCs/>
          <w:lang w:val="en-US"/>
        </w:rPr>
        <w:t xml:space="preserve">Ibid. </w:t>
      </w:r>
    </w:p>
  </w:footnote>
  <w:footnote w:id="52">
    <w:p w14:paraId="29167E56" w14:textId="61F3607E" w:rsidR="004412EB" w:rsidRPr="004412EB" w:rsidRDefault="004412EB">
      <w:pPr>
        <w:pStyle w:val="FootnoteText"/>
        <w:rPr>
          <w:lang w:val="en-US"/>
        </w:rPr>
      </w:pPr>
      <w:r>
        <w:rPr>
          <w:rStyle w:val="FootnoteReference"/>
        </w:rPr>
        <w:footnoteRef/>
      </w:r>
      <w:r>
        <w:t xml:space="preserve"> </w:t>
      </w:r>
      <w:r>
        <w:rPr>
          <w:i/>
          <w:iCs/>
        </w:rPr>
        <w:t>Ibid</w:t>
      </w:r>
      <w:r>
        <w:t xml:space="preserve"> at p.197. </w:t>
      </w:r>
    </w:p>
  </w:footnote>
  <w:footnote w:id="53">
    <w:p w14:paraId="428350A6" w14:textId="56C0FB4D" w:rsidR="004412EB" w:rsidRPr="004412EB" w:rsidRDefault="004412EB">
      <w:pPr>
        <w:pStyle w:val="FootnoteText"/>
        <w:rPr>
          <w:lang w:val="de-DE"/>
        </w:rPr>
      </w:pPr>
      <w:r>
        <w:rPr>
          <w:rStyle w:val="FootnoteReference"/>
        </w:rPr>
        <w:footnoteRef/>
      </w:r>
      <w:r w:rsidRPr="004412EB">
        <w:rPr>
          <w:lang w:val="de-DE"/>
        </w:rPr>
        <w:t xml:space="preserve"> </w:t>
      </w:r>
      <w:r w:rsidRPr="004412EB">
        <w:rPr>
          <w:i/>
          <w:iCs/>
          <w:lang w:val="de-DE"/>
        </w:rPr>
        <w:t xml:space="preserve">McNally v Ireland </w:t>
      </w:r>
      <w:r w:rsidRPr="004412EB">
        <w:rPr>
          <w:lang w:val="de-DE"/>
        </w:rPr>
        <w:t>[2011] 4 IR 431.</w:t>
      </w:r>
    </w:p>
  </w:footnote>
  <w:footnote w:id="54">
    <w:p w14:paraId="0E4B7F7B" w14:textId="7C141DDD" w:rsidR="00CE2E51" w:rsidRPr="004412EB" w:rsidRDefault="00CE2E51">
      <w:pPr>
        <w:pStyle w:val="FootnoteText"/>
        <w:rPr>
          <w:i/>
          <w:iCs/>
          <w:lang w:val="de-DE"/>
        </w:rPr>
      </w:pPr>
      <w:r>
        <w:rPr>
          <w:rStyle w:val="FootnoteReference"/>
        </w:rPr>
        <w:footnoteRef/>
      </w:r>
      <w:r w:rsidRPr="004412EB">
        <w:rPr>
          <w:lang w:val="de-DE"/>
        </w:rPr>
        <w:t xml:space="preserve"> </w:t>
      </w:r>
      <w:r w:rsidR="004412EB" w:rsidRPr="00000D9E">
        <w:rPr>
          <w:i/>
          <w:iCs/>
          <w:lang w:val="de-DE"/>
        </w:rPr>
        <w:t xml:space="preserve">R v Schwarz </w:t>
      </w:r>
      <w:r w:rsidR="004412EB" w:rsidRPr="00000D9E">
        <w:rPr>
          <w:lang w:val="de-DE"/>
        </w:rPr>
        <w:t>(1988) 55 D.L.R. (4th) 1 (S.C.</w:t>
      </w:r>
      <w:r w:rsidR="004412EB">
        <w:rPr>
          <w:lang w:val="de-DE"/>
        </w:rPr>
        <w:t>C.).</w:t>
      </w:r>
    </w:p>
  </w:footnote>
  <w:footnote w:id="55">
    <w:p w14:paraId="70FD3D5F" w14:textId="2B09B835" w:rsidR="00CE2E51" w:rsidRDefault="00CE2E51">
      <w:pPr>
        <w:pStyle w:val="FootnoteText"/>
      </w:pPr>
      <w:r w:rsidRPr="0050321D">
        <w:rPr>
          <w:rStyle w:val="FootnoteReference"/>
          <w:i/>
          <w:iCs/>
        </w:rPr>
        <w:footnoteRef/>
      </w:r>
      <w:r w:rsidRPr="0050321D">
        <w:rPr>
          <w:i/>
          <w:iCs/>
        </w:rPr>
        <w:t xml:space="preserve"> </w:t>
      </w:r>
      <w:r w:rsidR="004412EB">
        <w:rPr>
          <w:i/>
          <w:iCs/>
        </w:rPr>
        <w:t xml:space="preserve">R v Hunt </w:t>
      </w:r>
      <w:r w:rsidR="004412EB">
        <w:t xml:space="preserve">[1987] A.C. 352,  </w:t>
      </w:r>
      <w:r w:rsidR="004412EB">
        <w:rPr>
          <w:i/>
          <w:iCs/>
        </w:rPr>
        <w:t>R v Edwards</w:t>
      </w:r>
      <w:r w:rsidR="004412EB">
        <w:t xml:space="preserve"> [1975] Q.B. 27 (CA).</w:t>
      </w:r>
    </w:p>
  </w:footnote>
  <w:footnote w:id="56">
    <w:p w14:paraId="24F69FE0" w14:textId="085FFBA6" w:rsidR="004412EB" w:rsidRPr="004412EB" w:rsidRDefault="004412EB">
      <w:pPr>
        <w:pStyle w:val="FootnoteText"/>
        <w:rPr>
          <w:lang w:val="en-US"/>
        </w:rPr>
      </w:pPr>
      <w:r>
        <w:rPr>
          <w:rStyle w:val="FootnoteReference"/>
        </w:rPr>
        <w:footnoteRef/>
      </w:r>
      <w:r>
        <w:t xml:space="preserve"> </w:t>
      </w:r>
      <w:r>
        <w:rPr>
          <w:i/>
          <w:iCs/>
        </w:rPr>
        <w:t xml:space="preserve">McNulty v Ireland and Attorney General </w:t>
      </w:r>
      <w:r>
        <w:t>[2015] 2 IR 592 at paragraph 6</w:t>
      </w:r>
    </w:p>
  </w:footnote>
  <w:footnote w:id="57">
    <w:p w14:paraId="0CEC50F3" w14:textId="405E56EA" w:rsidR="004412EB" w:rsidRPr="004412EB" w:rsidRDefault="004412EB">
      <w:pPr>
        <w:pStyle w:val="FootnoteText"/>
        <w:rPr>
          <w:i/>
          <w:iCs/>
        </w:rPr>
      </w:pPr>
      <w:r>
        <w:rPr>
          <w:rStyle w:val="FootnoteReference"/>
        </w:rPr>
        <w:footnoteRef/>
      </w:r>
      <w:r>
        <w:t xml:space="preserve"> </w:t>
      </w:r>
      <w:r>
        <w:rPr>
          <w:i/>
          <w:iCs/>
        </w:rPr>
        <w:t>Supra</w:t>
      </w:r>
      <w:r w:rsidR="00545A49">
        <w:rPr>
          <w:i/>
          <w:iCs/>
        </w:rPr>
        <w:t xml:space="preserve"> </w:t>
      </w:r>
      <w:r w:rsidR="00545A49">
        <w:rPr>
          <w:iCs/>
        </w:rPr>
        <w:t>note 33</w:t>
      </w:r>
      <w:r>
        <w:rPr>
          <w:i/>
          <w:iCs/>
        </w:rPr>
        <w:t xml:space="preserve">. </w:t>
      </w:r>
    </w:p>
  </w:footnote>
  <w:footnote w:id="58">
    <w:p w14:paraId="6ED6F920" w14:textId="11CC1C8E" w:rsidR="00CE2E51" w:rsidRDefault="00CE2E51">
      <w:pPr>
        <w:pStyle w:val="FootnoteText"/>
      </w:pPr>
      <w:r>
        <w:rPr>
          <w:rStyle w:val="FootnoteReference"/>
        </w:rPr>
        <w:footnoteRef/>
      </w:r>
      <w:r>
        <w:t xml:space="preserve"> </w:t>
      </w:r>
      <w:r>
        <w:rPr>
          <w:rFonts w:ascii="Times" w:hAnsi="Times" w:cs="Open Sans"/>
          <w:color w:val="000000" w:themeColor="text1"/>
        </w:rPr>
        <w:t xml:space="preserve">See </w:t>
      </w:r>
      <w:r w:rsidRPr="005D2B7A">
        <w:rPr>
          <w:rFonts w:ascii="Times" w:hAnsi="Times" w:cs="Open Sans"/>
          <w:i/>
          <w:iCs/>
          <w:color w:val="000000" w:themeColor="text1"/>
        </w:rPr>
        <w:t>Tot v United States</w:t>
      </w:r>
      <w:r w:rsidR="004412EB">
        <w:rPr>
          <w:rFonts w:ascii="Times" w:hAnsi="Times" w:cs="Open Sans"/>
          <w:i/>
          <w:iCs/>
          <w:color w:val="000000" w:themeColor="text1"/>
        </w:rPr>
        <w:t xml:space="preserve"> </w:t>
      </w:r>
      <w:r w:rsidR="004412EB">
        <w:rPr>
          <w:rFonts w:ascii="Times" w:hAnsi="Times" w:cs="Open Sans"/>
          <w:color w:val="000000" w:themeColor="text1"/>
        </w:rPr>
        <w:t xml:space="preserve">319 US 463 (1943) at 467 per Roberts J. </w:t>
      </w:r>
      <w:r>
        <w:rPr>
          <w:rFonts w:ascii="Times" w:hAnsi="Times" w:cs="Open Sans"/>
          <w:color w:val="000000" w:themeColor="text1"/>
        </w:rPr>
        <w:t xml:space="preserve">The test adopted by the Court in respect of the constitutionality of such a provision was that there must be </w:t>
      </w:r>
      <w:r w:rsidRPr="005D2B7A">
        <w:rPr>
          <w:rFonts w:ascii="Times" w:hAnsi="Times" w:cs="Open Sans"/>
          <w:i/>
          <w:iCs/>
          <w:color w:val="000000" w:themeColor="text1"/>
        </w:rPr>
        <w:t>‘rational connection between the facts proved and the fact presumed’</w:t>
      </w:r>
      <w:r>
        <w:rPr>
          <w:rFonts w:ascii="Times" w:hAnsi="Times" w:cs="Open Sans"/>
          <w:color w:val="000000" w:themeColor="text1"/>
        </w:rPr>
        <w:t>.</w:t>
      </w:r>
    </w:p>
  </w:footnote>
  <w:footnote w:id="59">
    <w:p w14:paraId="02D2D973" w14:textId="6E1012C3" w:rsidR="004412EB" w:rsidRPr="004412EB" w:rsidRDefault="004412EB">
      <w:pPr>
        <w:pStyle w:val="FootnoteText"/>
        <w:rPr>
          <w:lang w:val="en-US"/>
        </w:rPr>
      </w:pPr>
      <w:r>
        <w:rPr>
          <w:rStyle w:val="FootnoteReference"/>
        </w:rPr>
        <w:footnoteRef/>
      </w:r>
      <w:r>
        <w:t xml:space="preserve"> </w:t>
      </w:r>
      <w:r>
        <w:rPr>
          <w:i/>
          <w:iCs/>
        </w:rPr>
        <w:t xml:space="preserve">County Court of Ulster County v Allen </w:t>
      </w:r>
      <w:r>
        <w:t>442 US 140 (1979).</w:t>
      </w:r>
    </w:p>
  </w:footnote>
  <w:footnote w:id="60">
    <w:p w14:paraId="070194F4" w14:textId="66CE1584" w:rsidR="004412EB" w:rsidRPr="004412EB" w:rsidRDefault="004412EB">
      <w:pPr>
        <w:pStyle w:val="FootnoteText"/>
        <w:rPr>
          <w:i/>
          <w:iCs/>
          <w:lang w:val="en-US"/>
        </w:rPr>
      </w:pPr>
      <w:r>
        <w:rPr>
          <w:rStyle w:val="FootnoteReference"/>
        </w:rPr>
        <w:footnoteRef/>
      </w:r>
      <w:r>
        <w:t xml:space="preserve"> </w:t>
      </w:r>
      <w:r>
        <w:rPr>
          <w:i/>
          <w:iCs/>
          <w:lang w:val="en-US"/>
        </w:rPr>
        <w:t>Ibid.</w:t>
      </w:r>
    </w:p>
  </w:footnote>
  <w:footnote w:id="61">
    <w:p w14:paraId="4A63BAF0" w14:textId="27F761D4" w:rsidR="00C307BD" w:rsidRPr="00C307BD" w:rsidRDefault="00C307BD">
      <w:pPr>
        <w:pStyle w:val="FootnoteText"/>
        <w:rPr>
          <w:lang w:val="en-US"/>
        </w:rPr>
      </w:pPr>
      <w:r>
        <w:rPr>
          <w:rStyle w:val="FootnoteReference"/>
        </w:rPr>
        <w:footnoteRef/>
      </w:r>
      <w:r>
        <w:t xml:space="preserve"> </w:t>
      </w:r>
      <w:r w:rsidR="009966D4">
        <w:rPr>
          <w:i/>
        </w:rPr>
        <w:t xml:space="preserve">R v Morrison </w:t>
      </w:r>
      <w:r>
        <w:rPr>
          <w:lang w:val="en-US"/>
        </w:rPr>
        <w:t xml:space="preserve">[2019] 2 SCR 3. </w:t>
      </w:r>
    </w:p>
  </w:footnote>
  <w:footnote w:id="62">
    <w:p w14:paraId="5BDC99B1" w14:textId="51F961A5" w:rsidR="004412EB" w:rsidRPr="00545A49" w:rsidRDefault="004412EB">
      <w:pPr>
        <w:pStyle w:val="FootnoteText"/>
        <w:rPr>
          <w:iCs/>
          <w:lang w:val="en-US"/>
        </w:rPr>
      </w:pPr>
      <w:r>
        <w:rPr>
          <w:rStyle w:val="FootnoteReference"/>
        </w:rPr>
        <w:footnoteRef/>
      </w:r>
      <w:r>
        <w:t xml:space="preserve"> </w:t>
      </w:r>
      <w:r w:rsidR="00D0666A">
        <w:rPr>
          <w:i/>
          <w:iCs/>
          <w:lang w:val="en-US"/>
        </w:rPr>
        <w:t>Supra</w:t>
      </w:r>
      <w:r w:rsidR="00545A49">
        <w:rPr>
          <w:i/>
          <w:iCs/>
          <w:lang w:val="en-US"/>
        </w:rPr>
        <w:t xml:space="preserve"> </w:t>
      </w:r>
      <w:r w:rsidR="00545A49">
        <w:rPr>
          <w:iCs/>
          <w:lang w:val="en-US"/>
        </w:rPr>
        <w:t>note 26</w:t>
      </w:r>
    </w:p>
  </w:footnote>
  <w:footnote w:id="63">
    <w:p w14:paraId="2339AED4" w14:textId="1568D09B" w:rsidR="00CE2E51" w:rsidRPr="00C7213D" w:rsidRDefault="00CE2E51">
      <w:pPr>
        <w:pStyle w:val="FootnoteText"/>
      </w:pPr>
      <w:r w:rsidRPr="00C7213D">
        <w:rPr>
          <w:rStyle w:val="FootnoteReference"/>
        </w:rPr>
        <w:footnoteRef/>
      </w:r>
      <w:r w:rsidRPr="00C7213D">
        <w:t xml:space="preserve"> </w:t>
      </w:r>
      <w:r w:rsidR="009966D4" w:rsidRPr="009966D4">
        <w:rPr>
          <w:i/>
        </w:rPr>
        <w:t>R v Hess</w:t>
      </w:r>
      <w:r w:rsidR="009966D4">
        <w:t xml:space="preserve">, </w:t>
      </w:r>
      <w:r w:rsidR="009966D4">
        <w:rPr>
          <w:i/>
        </w:rPr>
        <w:t xml:space="preserve">R v Nguyen </w:t>
      </w:r>
      <w:r w:rsidRPr="00C7213D">
        <w:rPr>
          <w:rFonts w:ascii="Times" w:hAnsi="Times"/>
          <w:color w:val="333333"/>
          <w:shd w:val="clear" w:color="auto" w:fill="FFFFFF"/>
        </w:rPr>
        <w:t>(1990) 2 S.C.R. 906</w:t>
      </w:r>
    </w:p>
  </w:footnote>
  <w:footnote w:id="64">
    <w:p w14:paraId="7B157EA2" w14:textId="6A11D2D0" w:rsidR="0093222F" w:rsidRPr="0093222F" w:rsidRDefault="0093222F">
      <w:pPr>
        <w:pStyle w:val="FootnoteText"/>
      </w:pPr>
      <w:r>
        <w:rPr>
          <w:rStyle w:val="FootnoteReference"/>
        </w:rPr>
        <w:footnoteRef/>
      </w:r>
      <w:r>
        <w:t xml:space="preserve"> </w:t>
      </w:r>
      <w:r>
        <w:rPr>
          <w:i/>
          <w:iCs/>
        </w:rPr>
        <w:t>Supra</w:t>
      </w:r>
      <w:r>
        <w:t xml:space="preserve"> note 11 at paragraph 58.</w:t>
      </w:r>
    </w:p>
  </w:footnote>
  <w:footnote w:id="65">
    <w:p w14:paraId="7D993D80" w14:textId="350C21D2" w:rsidR="0093222F" w:rsidRPr="0093222F" w:rsidRDefault="0093222F">
      <w:pPr>
        <w:pStyle w:val="FootnoteText"/>
      </w:pPr>
      <w:r>
        <w:rPr>
          <w:rStyle w:val="FootnoteReference"/>
        </w:rPr>
        <w:footnoteRef/>
      </w:r>
      <w:r>
        <w:t xml:space="preserve"> </w:t>
      </w:r>
      <w:r>
        <w:rPr>
          <w:i/>
          <w:iCs/>
        </w:rPr>
        <w:t xml:space="preserve">Donnelly v Minister for Social Protection &amp; Ors </w:t>
      </w:r>
      <w:r>
        <w:t>[2022] 2 ILRM 185 at paragraph 182.</w:t>
      </w:r>
    </w:p>
  </w:footnote>
  <w:footnote w:id="66">
    <w:p w14:paraId="7B8050CB" w14:textId="3F06111A" w:rsidR="00CE2E51" w:rsidRPr="00335BBC" w:rsidRDefault="00CE2E51" w:rsidP="00335BBC">
      <w:pPr>
        <w:shd w:val="clear" w:color="auto" w:fill="FFFFFF"/>
        <w:spacing w:after="240"/>
        <w:ind w:right="240"/>
        <w:rPr>
          <w:rFonts w:ascii="Times" w:hAnsi="Times" w:cs="Open Sans"/>
          <w:color w:val="2A2A2A"/>
          <w:sz w:val="18"/>
          <w:szCs w:val="18"/>
        </w:rPr>
      </w:pPr>
      <w:r w:rsidRPr="00335BBC">
        <w:rPr>
          <w:rStyle w:val="FootnoteReference"/>
          <w:rFonts w:ascii="Times" w:hAnsi="Times"/>
        </w:rPr>
        <w:footnoteRef/>
      </w:r>
      <w:r w:rsidRPr="0093222F">
        <w:rPr>
          <w:rStyle w:val="Emphasis"/>
          <w:rFonts w:ascii="Times" w:hAnsi="Times" w:cs="Open Sans"/>
          <w:color w:val="000000" w:themeColor="text1"/>
          <w:sz w:val="20"/>
          <w:szCs w:val="20"/>
        </w:rPr>
        <w:t>Re Illegal Immigrants (Trafficking) Bill 1999</w:t>
      </w:r>
      <w:r w:rsidRPr="0093222F">
        <w:rPr>
          <w:rFonts w:ascii="Times" w:hAnsi="Times" w:cs="Open Sans"/>
          <w:color w:val="000000" w:themeColor="text1"/>
          <w:sz w:val="20"/>
          <w:szCs w:val="20"/>
        </w:rPr>
        <w:t xml:space="preserve"> [2000] 2 IR 360, </w:t>
      </w:r>
      <w:r w:rsidRPr="0093222F">
        <w:rPr>
          <w:rStyle w:val="Emphasis"/>
          <w:rFonts w:ascii="Times" w:hAnsi="Times" w:cs="Open Sans"/>
          <w:color w:val="000000" w:themeColor="text1"/>
          <w:sz w:val="20"/>
          <w:szCs w:val="20"/>
        </w:rPr>
        <w:t xml:space="preserve"> Maher v Attorney General</w:t>
      </w:r>
      <w:r w:rsidRPr="0093222F">
        <w:rPr>
          <w:rFonts w:ascii="Times" w:hAnsi="Times" w:cs="Open Sans"/>
          <w:color w:val="000000" w:themeColor="text1"/>
          <w:sz w:val="20"/>
          <w:szCs w:val="20"/>
        </w:rPr>
        <w:t xml:space="preserve"> [1973] IR 140, </w:t>
      </w:r>
      <w:r w:rsidRPr="0093222F">
        <w:rPr>
          <w:rStyle w:val="Emphasis"/>
          <w:rFonts w:ascii="Times" w:hAnsi="Times" w:cs="Open Sans"/>
          <w:color w:val="000000" w:themeColor="text1"/>
          <w:sz w:val="20"/>
          <w:szCs w:val="20"/>
        </w:rPr>
        <w:t>Twil Ltd v Kearney</w:t>
      </w:r>
      <w:r w:rsidRPr="0093222F">
        <w:rPr>
          <w:rFonts w:ascii="Times" w:hAnsi="Times" w:cs="Open Sans"/>
          <w:color w:val="000000" w:themeColor="text1"/>
          <w:sz w:val="20"/>
          <w:szCs w:val="20"/>
        </w:rPr>
        <w:t> [2001] 4 IR 490.</w:t>
      </w:r>
    </w:p>
  </w:footnote>
  <w:footnote w:id="67">
    <w:p w14:paraId="1B44CFA0" w14:textId="56FBBB19" w:rsidR="00CE2E51" w:rsidRDefault="00CE2E51">
      <w:pPr>
        <w:pStyle w:val="FootnoteText"/>
      </w:pPr>
      <w:r>
        <w:rPr>
          <w:rStyle w:val="FootnoteReference"/>
        </w:rPr>
        <w:footnoteRef/>
      </w:r>
      <w:r>
        <w:t xml:space="preserve"> </w:t>
      </w:r>
      <w:r w:rsidR="0093222F">
        <w:t>Hogan et al., “</w:t>
      </w:r>
      <w:r w:rsidR="0093222F">
        <w:rPr>
          <w:i/>
          <w:iCs/>
        </w:rPr>
        <w:t xml:space="preserve">Kelly: The Irish Constitution” </w:t>
      </w:r>
      <w:r w:rsidR="0093222F">
        <w:t>(2018) (Bloomsbury Professional) 5</w:t>
      </w:r>
      <w:r w:rsidR="0093222F" w:rsidRPr="000F452F">
        <w:rPr>
          <w:vertAlign w:val="superscript"/>
        </w:rPr>
        <w:t>th</w:t>
      </w:r>
      <w:r w:rsidR="0093222F">
        <w:t xml:space="preserve"> Edn., </w:t>
      </w:r>
      <w:r w:rsidR="0093222F">
        <w:rPr>
          <w:i/>
          <w:iCs/>
        </w:rPr>
        <w:t xml:space="preserve"> </w:t>
      </w:r>
      <w:r w:rsidR="0093222F">
        <w:t>at [7.193 – 7.1.98]</w:t>
      </w:r>
    </w:p>
  </w:footnote>
  <w:footnote w:id="68">
    <w:p w14:paraId="03CFD438" w14:textId="29A25600" w:rsidR="00CE2E51" w:rsidRDefault="00CE2E51">
      <w:pPr>
        <w:pStyle w:val="FootnoteText"/>
      </w:pPr>
      <w:r>
        <w:rPr>
          <w:rStyle w:val="FootnoteReference"/>
        </w:rPr>
        <w:footnoteRef/>
      </w:r>
      <w:r>
        <w:t xml:space="preserve"> </w:t>
      </w:r>
      <w:r w:rsidR="0093222F">
        <w:t>B. Foley, “The Proportionality Test: Present Problems” (2</w:t>
      </w:r>
      <w:r w:rsidR="00C307BD">
        <w:t>00</w:t>
      </w:r>
      <w:r w:rsidR="0093222F">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8D3"/>
    <w:multiLevelType w:val="hybridMultilevel"/>
    <w:tmpl w:val="27A40402"/>
    <w:lvl w:ilvl="0" w:tplc="6C2687FE">
      <w:start w:val="1"/>
      <w:numFmt w:val="decimal"/>
      <w:lvlText w:val="%1."/>
      <w:lvlJc w:val="left"/>
      <w:pPr>
        <w:ind w:left="360" w:hanging="360"/>
      </w:pPr>
      <w:rPr>
        <w:rFonts w:ascii="Times" w:hAnsi="Times" w:hint="default"/>
        <w:i w:val="0"/>
        <w:i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76244C"/>
    <w:multiLevelType w:val="hybridMultilevel"/>
    <w:tmpl w:val="864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964B1"/>
    <w:multiLevelType w:val="multilevel"/>
    <w:tmpl w:val="4A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B583B"/>
    <w:multiLevelType w:val="multilevel"/>
    <w:tmpl w:val="55C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F0417"/>
    <w:multiLevelType w:val="hybridMultilevel"/>
    <w:tmpl w:val="F3383520"/>
    <w:lvl w:ilvl="0" w:tplc="6134711C">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78"/>
    <w:rsid w:val="00001222"/>
    <w:rsid w:val="00013E42"/>
    <w:rsid w:val="000145F1"/>
    <w:rsid w:val="0001576C"/>
    <w:rsid w:val="000320C9"/>
    <w:rsid w:val="00033685"/>
    <w:rsid w:val="00046F43"/>
    <w:rsid w:val="0005493F"/>
    <w:rsid w:val="000575F8"/>
    <w:rsid w:val="000624B7"/>
    <w:rsid w:val="00065D22"/>
    <w:rsid w:val="00075D35"/>
    <w:rsid w:val="000838EF"/>
    <w:rsid w:val="000964E2"/>
    <w:rsid w:val="000A0A49"/>
    <w:rsid w:val="000A28A0"/>
    <w:rsid w:val="000A5F2D"/>
    <w:rsid w:val="000A6B95"/>
    <w:rsid w:val="000A7673"/>
    <w:rsid w:val="000B0090"/>
    <w:rsid w:val="000C01BE"/>
    <w:rsid w:val="000C6758"/>
    <w:rsid w:val="000D086A"/>
    <w:rsid w:val="000D2DFE"/>
    <w:rsid w:val="000E26EE"/>
    <w:rsid w:val="000E6108"/>
    <w:rsid w:val="001028F2"/>
    <w:rsid w:val="00104ADC"/>
    <w:rsid w:val="0011188D"/>
    <w:rsid w:val="00116628"/>
    <w:rsid w:val="00131A0A"/>
    <w:rsid w:val="00135A80"/>
    <w:rsid w:val="001435F5"/>
    <w:rsid w:val="00152913"/>
    <w:rsid w:val="00162071"/>
    <w:rsid w:val="00167852"/>
    <w:rsid w:val="00172FA8"/>
    <w:rsid w:val="0017443D"/>
    <w:rsid w:val="0017504A"/>
    <w:rsid w:val="00175B02"/>
    <w:rsid w:val="00183185"/>
    <w:rsid w:val="00187946"/>
    <w:rsid w:val="00190279"/>
    <w:rsid w:val="00192B25"/>
    <w:rsid w:val="001A0DF7"/>
    <w:rsid w:val="001A250D"/>
    <w:rsid w:val="001B1578"/>
    <w:rsid w:val="001C226C"/>
    <w:rsid w:val="001C5030"/>
    <w:rsid w:val="001C60C6"/>
    <w:rsid w:val="001C6113"/>
    <w:rsid w:val="001C77DE"/>
    <w:rsid w:val="001D33B5"/>
    <w:rsid w:val="001E0CC9"/>
    <w:rsid w:val="001E5B36"/>
    <w:rsid w:val="0020132F"/>
    <w:rsid w:val="00214C76"/>
    <w:rsid w:val="00215812"/>
    <w:rsid w:val="002220A4"/>
    <w:rsid w:val="00224723"/>
    <w:rsid w:val="00233AD7"/>
    <w:rsid w:val="00244B3E"/>
    <w:rsid w:val="0024544D"/>
    <w:rsid w:val="00260BBE"/>
    <w:rsid w:val="002637F0"/>
    <w:rsid w:val="0029136B"/>
    <w:rsid w:val="002A423E"/>
    <w:rsid w:val="002B4417"/>
    <w:rsid w:val="002D5122"/>
    <w:rsid w:val="002E2C43"/>
    <w:rsid w:val="002E3DB8"/>
    <w:rsid w:val="002F0777"/>
    <w:rsid w:val="002F21F1"/>
    <w:rsid w:val="00306539"/>
    <w:rsid w:val="00312FCB"/>
    <w:rsid w:val="00323ACA"/>
    <w:rsid w:val="00331BD5"/>
    <w:rsid w:val="00334F2F"/>
    <w:rsid w:val="00335BBC"/>
    <w:rsid w:val="00340F4E"/>
    <w:rsid w:val="003478B1"/>
    <w:rsid w:val="00354DDC"/>
    <w:rsid w:val="003703D0"/>
    <w:rsid w:val="003779C1"/>
    <w:rsid w:val="0039135C"/>
    <w:rsid w:val="00392A77"/>
    <w:rsid w:val="003A09A0"/>
    <w:rsid w:val="003A29DD"/>
    <w:rsid w:val="003A4ED1"/>
    <w:rsid w:val="003A7311"/>
    <w:rsid w:val="003B795F"/>
    <w:rsid w:val="003D0E43"/>
    <w:rsid w:val="003D2570"/>
    <w:rsid w:val="003D4A61"/>
    <w:rsid w:val="003D7189"/>
    <w:rsid w:val="003E0540"/>
    <w:rsid w:val="003E0F03"/>
    <w:rsid w:val="003E0F5C"/>
    <w:rsid w:val="003E337F"/>
    <w:rsid w:val="003E6A51"/>
    <w:rsid w:val="003F059F"/>
    <w:rsid w:val="003F2DC7"/>
    <w:rsid w:val="00403A61"/>
    <w:rsid w:val="00414152"/>
    <w:rsid w:val="00424390"/>
    <w:rsid w:val="00427B81"/>
    <w:rsid w:val="00430197"/>
    <w:rsid w:val="004340CA"/>
    <w:rsid w:val="00436BA1"/>
    <w:rsid w:val="004412EB"/>
    <w:rsid w:val="00445390"/>
    <w:rsid w:val="004609AA"/>
    <w:rsid w:val="00463142"/>
    <w:rsid w:val="0046334C"/>
    <w:rsid w:val="00464E09"/>
    <w:rsid w:val="0046569F"/>
    <w:rsid w:val="00473FE0"/>
    <w:rsid w:val="00476811"/>
    <w:rsid w:val="00483A19"/>
    <w:rsid w:val="00485688"/>
    <w:rsid w:val="0048720E"/>
    <w:rsid w:val="004A12DF"/>
    <w:rsid w:val="004A2C5B"/>
    <w:rsid w:val="004B297A"/>
    <w:rsid w:val="004C19B0"/>
    <w:rsid w:val="004C5A94"/>
    <w:rsid w:val="004C6B61"/>
    <w:rsid w:val="004E57D3"/>
    <w:rsid w:val="00502175"/>
    <w:rsid w:val="0050321D"/>
    <w:rsid w:val="00511D6C"/>
    <w:rsid w:val="0051658A"/>
    <w:rsid w:val="00523D35"/>
    <w:rsid w:val="00525DF9"/>
    <w:rsid w:val="00531BCD"/>
    <w:rsid w:val="00536B7D"/>
    <w:rsid w:val="00545A49"/>
    <w:rsid w:val="005512AF"/>
    <w:rsid w:val="00551997"/>
    <w:rsid w:val="005544B2"/>
    <w:rsid w:val="00576F22"/>
    <w:rsid w:val="00581063"/>
    <w:rsid w:val="005823E9"/>
    <w:rsid w:val="005829D5"/>
    <w:rsid w:val="005919E2"/>
    <w:rsid w:val="005A08C5"/>
    <w:rsid w:val="005A7511"/>
    <w:rsid w:val="005A7CF3"/>
    <w:rsid w:val="005B0128"/>
    <w:rsid w:val="005B1B3D"/>
    <w:rsid w:val="005B2A62"/>
    <w:rsid w:val="005C4234"/>
    <w:rsid w:val="005D2B7A"/>
    <w:rsid w:val="005E44E7"/>
    <w:rsid w:val="005E4EF9"/>
    <w:rsid w:val="005F087A"/>
    <w:rsid w:val="005F13CD"/>
    <w:rsid w:val="005F2EC0"/>
    <w:rsid w:val="005F3052"/>
    <w:rsid w:val="005F5139"/>
    <w:rsid w:val="005F5248"/>
    <w:rsid w:val="00606DF7"/>
    <w:rsid w:val="0061116E"/>
    <w:rsid w:val="00614CC6"/>
    <w:rsid w:val="00620607"/>
    <w:rsid w:val="0062063F"/>
    <w:rsid w:val="00623BDF"/>
    <w:rsid w:val="0062539B"/>
    <w:rsid w:val="006309C9"/>
    <w:rsid w:val="0063178F"/>
    <w:rsid w:val="00634A90"/>
    <w:rsid w:val="0064272C"/>
    <w:rsid w:val="00673AA0"/>
    <w:rsid w:val="00674007"/>
    <w:rsid w:val="00674C2A"/>
    <w:rsid w:val="006752FE"/>
    <w:rsid w:val="00675D8A"/>
    <w:rsid w:val="00682BB3"/>
    <w:rsid w:val="00694BF7"/>
    <w:rsid w:val="00695914"/>
    <w:rsid w:val="006A1B1E"/>
    <w:rsid w:val="006B39DF"/>
    <w:rsid w:val="006B680A"/>
    <w:rsid w:val="006C238D"/>
    <w:rsid w:val="006D1269"/>
    <w:rsid w:val="006D734E"/>
    <w:rsid w:val="006E714F"/>
    <w:rsid w:val="006F2864"/>
    <w:rsid w:val="00723B40"/>
    <w:rsid w:val="00723E41"/>
    <w:rsid w:val="0073536C"/>
    <w:rsid w:val="00752F82"/>
    <w:rsid w:val="00773006"/>
    <w:rsid w:val="00780384"/>
    <w:rsid w:val="007A4DBE"/>
    <w:rsid w:val="007A6D1E"/>
    <w:rsid w:val="007B1640"/>
    <w:rsid w:val="007B5EA6"/>
    <w:rsid w:val="007E2E84"/>
    <w:rsid w:val="007F099D"/>
    <w:rsid w:val="007F4178"/>
    <w:rsid w:val="007F4196"/>
    <w:rsid w:val="00814C7E"/>
    <w:rsid w:val="008226C9"/>
    <w:rsid w:val="0082689D"/>
    <w:rsid w:val="00832E2C"/>
    <w:rsid w:val="008429B0"/>
    <w:rsid w:val="00856B9A"/>
    <w:rsid w:val="00863FA9"/>
    <w:rsid w:val="00895D6B"/>
    <w:rsid w:val="00897FA6"/>
    <w:rsid w:val="008A157C"/>
    <w:rsid w:val="008A2CAF"/>
    <w:rsid w:val="008B1894"/>
    <w:rsid w:val="008B6E58"/>
    <w:rsid w:val="008E585B"/>
    <w:rsid w:val="0092464C"/>
    <w:rsid w:val="00927F44"/>
    <w:rsid w:val="00930C6B"/>
    <w:rsid w:val="0093222F"/>
    <w:rsid w:val="009447D2"/>
    <w:rsid w:val="00945255"/>
    <w:rsid w:val="00955F4B"/>
    <w:rsid w:val="00962C95"/>
    <w:rsid w:val="0096610B"/>
    <w:rsid w:val="009865E2"/>
    <w:rsid w:val="009909CE"/>
    <w:rsid w:val="009966D4"/>
    <w:rsid w:val="00997D74"/>
    <w:rsid w:val="00997DC8"/>
    <w:rsid w:val="009A70A8"/>
    <w:rsid w:val="009B2503"/>
    <w:rsid w:val="009B40F8"/>
    <w:rsid w:val="009C0535"/>
    <w:rsid w:val="009C22D3"/>
    <w:rsid w:val="009C300C"/>
    <w:rsid w:val="009C6A78"/>
    <w:rsid w:val="009D1FC6"/>
    <w:rsid w:val="009D3431"/>
    <w:rsid w:val="009E610F"/>
    <w:rsid w:val="009E7D89"/>
    <w:rsid w:val="009F4517"/>
    <w:rsid w:val="00A0453C"/>
    <w:rsid w:val="00A148C3"/>
    <w:rsid w:val="00A1701F"/>
    <w:rsid w:val="00A2740D"/>
    <w:rsid w:val="00A27FEB"/>
    <w:rsid w:val="00A31114"/>
    <w:rsid w:val="00A34E1D"/>
    <w:rsid w:val="00A379E3"/>
    <w:rsid w:val="00A4443B"/>
    <w:rsid w:val="00A5364F"/>
    <w:rsid w:val="00A54A8B"/>
    <w:rsid w:val="00A65634"/>
    <w:rsid w:val="00A70302"/>
    <w:rsid w:val="00A70778"/>
    <w:rsid w:val="00A71595"/>
    <w:rsid w:val="00A73813"/>
    <w:rsid w:val="00A843A0"/>
    <w:rsid w:val="00A84DE3"/>
    <w:rsid w:val="00A97E9F"/>
    <w:rsid w:val="00AB2D47"/>
    <w:rsid w:val="00AB4220"/>
    <w:rsid w:val="00AB7348"/>
    <w:rsid w:val="00AD25D3"/>
    <w:rsid w:val="00AF2AA7"/>
    <w:rsid w:val="00AF3C62"/>
    <w:rsid w:val="00B14606"/>
    <w:rsid w:val="00B25999"/>
    <w:rsid w:val="00B31314"/>
    <w:rsid w:val="00B409C2"/>
    <w:rsid w:val="00B44CAE"/>
    <w:rsid w:val="00B47F76"/>
    <w:rsid w:val="00B5372C"/>
    <w:rsid w:val="00B67EDF"/>
    <w:rsid w:val="00B71914"/>
    <w:rsid w:val="00B9173F"/>
    <w:rsid w:val="00B937C4"/>
    <w:rsid w:val="00B956F7"/>
    <w:rsid w:val="00B95844"/>
    <w:rsid w:val="00B96FD7"/>
    <w:rsid w:val="00BB5A20"/>
    <w:rsid w:val="00BC1B71"/>
    <w:rsid w:val="00BC6543"/>
    <w:rsid w:val="00BD354E"/>
    <w:rsid w:val="00BE1BE7"/>
    <w:rsid w:val="00BF3627"/>
    <w:rsid w:val="00BF3BE8"/>
    <w:rsid w:val="00BF5628"/>
    <w:rsid w:val="00BF5CC3"/>
    <w:rsid w:val="00BF7C8F"/>
    <w:rsid w:val="00C0442C"/>
    <w:rsid w:val="00C04B6C"/>
    <w:rsid w:val="00C11A29"/>
    <w:rsid w:val="00C163E9"/>
    <w:rsid w:val="00C207C6"/>
    <w:rsid w:val="00C307BD"/>
    <w:rsid w:val="00C3637C"/>
    <w:rsid w:val="00C426C8"/>
    <w:rsid w:val="00C45CE4"/>
    <w:rsid w:val="00C542C1"/>
    <w:rsid w:val="00C60A33"/>
    <w:rsid w:val="00C7036E"/>
    <w:rsid w:val="00C71E00"/>
    <w:rsid w:val="00C7213D"/>
    <w:rsid w:val="00C80E26"/>
    <w:rsid w:val="00C97463"/>
    <w:rsid w:val="00CA1844"/>
    <w:rsid w:val="00CA2627"/>
    <w:rsid w:val="00CB3A11"/>
    <w:rsid w:val="00CB5367"/>
    <w:rsid w:val="00CB662D"/>
    <w:rsid w:val="00CC148E"/>
    <w:rsid w:val="00CC1E72"/>
    <w:rsid w:val="00CC5B2D"/>
    <w:rsid w:val="00CC646C"/>
    <w:rsid w:val="00CE0EA1"/>
    <w:rsid w:val="00CE2271"/>
    <w:rsid w:val="00CE2E51"/>
    <w:rsid w:val="00CE5EEE"/>
    <w:rsid w:val="00CF0311"/>
    <w:rsid w:val="00CF7F26"/>
    <w:rsid w:val="00D0666A"/>
    <w:rsid w:val="00D10444"/>
    <w:rsid w:val="00D111E3"/>
    <w:rsid w:val="00D20785"/>
    <w:rsid w:val="00D20F08"/>
    <w:rsid w:val="00D25F66"/>
    <w:rsid w:val="00D35C74"/>
    <w:rsid w:val="00D40DF2"/>
    <w:rsid w:val="00D51838"/>
    <w:rsid w:val="00D62F13"/>
    <w:rsid w:val="00D63247"/>
    <w:rsid w:val="00D674D0"/>
    <w:rsid w:val="00D7229B"/>
    <w:rsid w:val="00DC0FBD"/>
    <w:rsid w:val="00DE43CD"/>
    <w:rsid w:val="00E00303"/>
    <w:rsid w:val="00E00E70"/>
    <w:rsid w:val="00E03112"/>
    <w:rsid w:val="00E07644"/>
    <w:rsid w:val="00E1409F"/>
    <w:rsid w:val="00E23D71"/>
    <w:rsid w:val="00E26A84"/>
    <w:rsid w:val="00E30B11"/>
    <w:rsid w:val="00E33B38"/>
    <w:rsid w:val="00E3746D"/>
    <w:rsid w:val="00E457F2"/>
    <w:rsid w:val="00E47B40"/>
    <w:rsid w:val="00E52139"/>
    <w:rsid w:val="00E56D01"/>
    <w:rsid w:val="00E57E8A"/>
    <w:rsid w:val="00E65B3F"/>
    <w:rsid w:val="00E71081"/>
    <w:rsid w:val="00E77556"/>
    <w:rsid w:val="00E83A2C"/>
    <w:rsid w:val="00E90E03"/>
    <w:rsid w:val="00E979DD"/>
    <w:rsid w:val="00EB26B8"/>
    <w:rsid w:val="00EB7902"/>
    <w:rsid w:val="00EC4626"/>
    <w:rsid w:val="00ED1CA0"/>
    <w:rsid w:val="00ED5C40"/>
    <w:rsid w:val="00EE10B5"/>
    <w:rsid w:val="00EE3D5F"/>
    <w:rsid w:val="00EE4384"/>
    <w:rsid w:val="00EE59BA"/>
    <w:rsid w:val="00EE7625"/>
    <w:rsid w:val="00EF5394"/>
    <w:rsid w:val="00F0354C"/>
    <w:rsid w:val="00F107A9"/>
    <w:rsid w:val="00F10A74"/>
    <w:rsid w:val="00F15833"/>
    <w:rsid w:val="00F2399C"/>
    <w:rsid w:val="00F32BF1"/>
    <w:rsid w:val="00F42CE9"/>
    <w:rsid w:val="00F436D9"/>
    <w:rsid w:val="00F62D4E"/>
    <w:rsid w:val="00F63049"/>
    <w:rsid w:val="00F72D0B"/>
    <w:rsid w:val="00F75F6F"/>
    <w:rsid w:val="00F8402A"/>
    <w:rsid w:val="00F852ED"/>
    <w:rsid w:val="00F864C2"/>
    <w:rsid w:val="00F8663B"/>
    <w:rsid w:val="00F87CEF"/>
    <w:rsid w:val="00F87F5F"/>
    <w:rsid w:val="00FA1732"/>
    <w:rsid w:val="00FA61E2"/>
    <w:rsid w:val="00FB371F"/>
    <w:rsid w:val="00FB38FB"/>
    <w:rsid w:val="00FC0B85"/>
    <w:rsid w:val="00FD2635"/>
    <w:rsid w:val="00FD2BAB"/>
    <w:rsid w:val="00FE22AE"/>
    <w:rsid w:val="00FF1B1E"/>
    <w:rsid w:val="00FF7A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BCDB0"/>
  <w15:docId w15:val="{9D3466E5-DF84-7349-B116-A467F67E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B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3746D"/>
    <w:pPr>
      <w:keepNext/>
      <w:keepLines/>
      <w:spacing w:before="240"/>
      <w:outlineLvl w:val="0"/>
    </w:pPr>
    <w:rPr>
      <w:rFonts w:eastAsiaTheme="majorEastAsia"/>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97"/>
    <w:pPr>
      <w:ind w:left="720"/>
      <w:contextualSpacing/>
    </w:pPr>
  </w:style>
  <w:style w:type="character" w:styleId="Emphasis">
    <w:name w:val="Emphasis"/>
    <w:basedOn w:val="DefaultParagraphFont"/>
    <w:uiPriority w:val="20"/>
    <w:qFormat/>
    <w:rsid w:val="00551997"/>
    <w:rPr>
      <w:i/>
      <w:iCs/>
    </w:rPr>
  </w:style>
  <w:style w:type="character" w:styleId="Hyperlink">
    <w:name w:val="Hyperlink"/>
    <w:basedOn w:val="DefaultParagraphFont"/>
    <w:uiPriority w:val="99"/>
    <w:unhideWhenUsed/>
    <w:rsid w:val="00551997"/>
    <w:rPr>
      <w:color w:val="0000FF"/>
      <w:u w:val="single"/>
    </w:rPr>
  </w:style>
  <w:style w:type="paragraph" w:styleId="NoSpacing">
    <w:name w:val="No Spacing"/>
    <w:uiPriority w:val="1"/>
    <w:qFormat/>
    <w:rsid w:val="00551997"/>
    <w:rPr>
      <w:lang w:val="en-US"/>
    </w:rPr>
  </w:style>
  <w:style w:type="character" w:customStyle="1" w:styleId="user-highlighted-active">
    <w:name w:val="user-highlighted-active"/>
    <w:basedOn w:val="DefaultParagraphFont"/>
    <w:rsid w:val="00531BCD"/>
  </w:style>
  <w:style w:type="paragraph" w:customStyle="1" w:styleId="paranondepar-altn">
    <w:name w:val="paranondepar-altn"/>
    <w:basedOn w:val="Normal"/>
    <w:rsid w:val="00F72D0B"/>
    <w:pPr>
      <w:spacing w:before="100" w:beforeAutospacing="1" w:after="100" w:afterAutospacing="1"/>
    </w:pPr>
  </w:style>
  <w:style w:type="paragraph" w:customStyle="1" w:styleId="title4leveltitre4niveau">
    <w:name w:val="title4leveltitre4niveau"/>
    <w:basedOn w:val="Normal"/>
    <w:rsid w:val="00F72D0B"/>
    <w:pPr>
      <w:spacing w:before="100" w:beforeAutospacing="1" w:after="100" w:afterAutospacing="1"/>
    </w:pPr>
  </w:style>
  <w:style w:type="paragraph" w:styleId="Footer">
    <w:name w:val="footer"/>
    <w:basedOn w:val="Normal"/>
    <w:link w:val="FooterChar"/>
    <w:uiPriority w:val="99"/>
    <w:unhideWhenUsed/>
    <w:rsid w:val="00B14606"/>
    <w:pPr>
      <w:tabs>
        <w:tab w:val="center" w:pos="4513"/>
        <w:tab w:val="right" w:pos="9026"/>
      </w:tabs>
    </w:pPr>
  </w:style>
  <w:style w:type="character" w:customStyle="1" w:styleId="FooterChar">
    <w:name w:val="Footer Char"/>
    <w:basedOn w:val="DefaultParagraphFont"/>
    <w:link w:val="Footer"/>
    <w:uiPriority w:val="99"/>
    <w:rsid w:val="00B14606"/>
    <w:rPr>
      <w:lang w:val="en-US"/>
    </w:rPr>
  </w:style>
  <w:style w:type="character" w:styleId="PageNumber">
    <w:name w:val="page number"/>
    <w:basedOn w:val="DefaultParagraphFont"/>
    <w:uiPriority w:val="99"/>
    <w:semiHidden/>
    <w:unhideWhenUsed/>
    <w:rsid w:val="00B14606"/>
  </w:style>
  <w:style w:type="paragraph" w:styleId="NormalWeb">
    <w:name w:val="Normal (Web)"/>
    <w:basedOn w:val="Normal"/>
    <w:uiPriority w:val="99"/>
    <w:unhideWhenUsed/>
    <w:rsid w:val="00E56D01"/>
    <w:pPr>
      <w:spacing w:before="100" w:beforeAutospacing="1" w:after="100" w:afterAutospacing="1"/>
    </w:pPr>
  </w:style>
  <w:style w:type="character" w:customStyle="1" w:styleId="case-link">
    <w:name w:val="case-link"/>
    <w:basedOn w:val="DefaultParagraphFont"/>
    <w:rsid w:val="00E56D01"/>
  </w:style>
  <w:style w:type="character" w:customStyle="1" w:styleId="reference">
    <w:name w:val="reference"/>
    <w:basedOn w:val="DefaultParagraphFont"/>
    <w:rsid w:val="00E56D01"/>
  </w:style>
  <w:style w:type="character" w:customStyle="1" w:styleId="para-num">
    <w:name w:val="para-num"/>
    <w:basedOn w:val="DefaultParagraphFont"/>
    <w:rsid w:val="00E56D01"/>
  </w:style>
  <w:style w:type="character" w:customStyle="1" w:styleId="key-sentence">
    <w:name w:val="key-sentence"/>
    <w:basedOn w:val="DefaultParagraphFont"/>
    <w:rsid w:val="00E56D01"/>
  </w:style>
  <w:style w:type="paragraph" w:styleId="PlainText">
    <w:name w:val="Plain Text"/>
    <w:basedOn w:val="Normal"/>
    <w:link w:val="PlainTextChar"/>
    <w:uiPriority w:val="99"/>
    <w:semiHidden/>
    <w:unhideWhenUsed/>
    <w:rsid w:val="00E979DD"/>
    <w:pPr>
      <w:spacing w:before="100" w:beforeAutospacing="1" w:after="100" w:afterAutospacing="1"/>
    </w:pPr>
  </w:style>
  <w:style w:type="character" w:customStyle="1" w:styleId="PlainTextChar">
    <w:name w:val="Plain Text Char"/>
    <w:basedOn w:val="DefaultParagraphFont"/>
    <w:link w:val="PlainText"/>
    <w:uiPriority w:val="99"/>
    <w:semiHidden/>
    <w:rsid w:val="00E979DD"/>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013E42"/>
    <w:rPr>
      <w:sz w:val="20"/>
      <w:szCs w:val="20"/>
    </w:rPr>
  </w:style>
  <w:style w:type="character" w:customStyle="1" w:styleId="FootnoteTextChar">
    <w:name w:val="Footnote Text Char"/>
    <w:basedOn w:val="DefaultParagraphFont"/>
    <w:link w:val="FootnoteText"/>
    <w:uiPriority w:val="99"/>
    <w:semiHidden/>
    <w:rsid w:val="00013E42"/>
    <w:rPr>
      <w:sz w:val="20"/>
      <w:szCs w:val="20"/>
      <w:lang w:val="en-US"/>
    </w:rPr>
  </w:style>
  <w:style w:type="character" w:styleId="FootnoteReference">
    <w:name w:val="footnote reference"/>
    <w:basedOn w:val="DefaultParagraphFont"/>
    <w:uiPriority w:val="99"/>
    <w:semiHidden/>
    <w:unhideWhenUsed/>
    <w:rsid w:val="00013E42"/>
    <w:rPr>
      <w:vertAlign w:val="superscript"/>
    </w:rPr>
  </w:style>
  <w:style w:type="character" w:customStyle="1" w:styleId="sb8d990e2">
    <w:name w:val="sb8d990e2"/>
    <w:basedOn w:val="DefaultParagraphFont"/>
    <w:rsid w:val="00214C76"/>
  </w:style>
  <w:style w:type="character" w:customStyle="1" w:styleId="l-leftover">
    <w:name w:val="l-leftover"/>
    <w:basedOn w:val="DefaultParagraphFont"/>
    <w:rsid w:val="00B95844"/>
  </w:style>
  <w:style w:type="character" w:customStyle="1" w:styleId="l-normaldigitafter">
    <w:name w:val="l-normaldigitafter"/>
    <w:basedOn w:val="DefaultParagraphFont"/>
    <w:rsid w:val="00752F82"/>
  </w:style>
  <w:style w:type="character" w:customStyle="1" w:styleId="s6b621b36">
    <w:name w:val="s6b621b36"/>
    <w:basedOn w:val="DefaultParagraphFont"/>
    <w:rsid w:val="00B67EDF"/>
  </w:style>
  <w:style w:type="paragraph" w:styleId="BalloonText">
    <w:name w:val="Balloon Text"/>
    <w:basedOn w:val="Normal"/>
    <w:link w:val="BalloonTextChar"/>
    <w:uiPriority w:val="99"/>
    <w:semiHidden/>
    <w:unhideWhenUsed/>
    <w:rsid w:val="007B1640"/>
    <w:rPr>
      <w:sz w:val="18"/>
      <w:szCs w:val="18"/>
    </w:rPr>
  </w:style>
  <w:style w:type="character" w:customStyle="1" w:styleId="BalloonTextChar">
    <w:name w:val="Balloon Text Char"/>
    <w:basedOn w:val="DefaultParagraphFont"/>
    <w:link w:val="BalloonText"/>
    <w:uiPriority w:val="99"/>
    <w:semiHidden/>
    <w:rsid w:val="007B1640"/>
    <w:rPr>
      <w:rFonts w:ascii="Times New Roman" w:eastAsia="Times New Roman" w:hAnsi="Times New Roman" w:cs="Times New Roman"/>
      <w:sz w:val="18"/>
      <w:szCs w:val="18"/>
      <w:lang w:eastAsia="en-GB"/>
    </w:rPr>
  </w:style>
  <w:style w:type="paragraph" w:styleId="BodyTextIndent">
    <w:name w:val="Body Text Indent"/>
    <w:basedOn w:val="Normal"/>
    <w:link w:val="BodyTextIndentChar"/>
    <w:uiPriority w:val="99"/>
    <w:semiHidden/>
    <w:unhideWhenUsed/>
    <w:rsid w:val="00606DF7"/>
    <w:pPr>
      <w:spacing w:after="120"/>
      <w:ind w:left="283"/>
    </w:pPr>
  </w:style>
  <w:style w:type="character" w:customStyle="1" w:styleId="BodyTextIndentChar">
    <w:name w:val="Body Text Indent Char"/>
    <w:basedOn w:val="DefaultParagraphFont"/>
    <w:link w:val="BodyTextIndent"/>
    <w:uiPriority w:val="99"/>
    <w:semiHidden/>
    <w:rsid w:val="00606DF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87946"/>
    <w:rPr>
      <w:sz w:val="16"/>
      <w:szCs w:val="16"/>
    </w:rPr>
  </w:style>
  <w:style w:type="paragraph" w:styleId="CommentText">
    <w:name w:val="annotation text"/>
    <w:basedOn w:val="Normal"/>
    <w:link w:val="CommentTextChar"/>
    <w:uiPriority w:val="99"/>
    <w:semiHidden/>
    <w:unhideWhenUsed/>
    <w:rsid w:val="00187946"/>
    <w:rPr>
      <w:sz w:val="20"/>
      <w:szCs w:val="20"/>
    </w:rPr>
  </w:style>
  <w:style w:type="character" w:customStyle="1" w:styleId="CommentTextChar">
    <w:name w:val="Comment Text Char"/>
    <w:basedOn w:val="DefaultParagraphFont"/>
    <w:link w:val="CommentText"/>
    <w:uiPriority w:val="99"/>
    <w:semiHidden/>
    <w:rsid w:val="0018794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7946"/>
    <w:rPr>
      <w:b/>
      <w:bCs/>
    </w:rPr>
  </w:style>
  <w:style w:type="character" w:customStyle="1" w:styleId="CommentSubjectChar">
    <w:name w:val="Comment Subject Char"/>
    <w:basedOn w:val="CommentTextChar"/>
    <w:link w:val="CommentSubject"/>
    <w:uiPriority w:val="99"/>
    <w:semiHidden/>
    <w:rsid w:val="00187946"/>
    <w:rPr>
      <w:rFonts w:ascii="Times New Roman" w:eastAsia="Times New Roman" w:hAnsi="Times New Roman" w:cs="Times New Roman"/>
      <w:b/>
      <w:bCs/>
      <w:sz w:val="20"/>
      <w:szCs w:val="20"/>
      <w:lang w:eastAsia="en-GB"/>
    </w:rPr>
  </w:style>
  <w:style w:type="paragraph" w:styleId="Revision">
    <w:name w:val="Revision"/>
    <w:hidden/>
    <w:uiPriority w:val="99"/>
    <w:semiHidden/>
    <w:rsid w:val="006C238D"/>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3746D"/>
    <w:rPr>
      <w:rFonts w:ascii="Times New Roman" w:eastAsiaTheme="majorEastAsia" w:hAnsi="Times New Roman" w:cs="Times New Roman"/>
      <w:b/>
      <w:bCs/>
      <w:color w:val="000000" w:themeColor="text1"/>
      <w:u w:val="single"/>
      <w:lang w:eastAsia="en-GB"/>
    </w:rPr>
  </w:style>
  <w:style w:type="paragraph" w:styleId="TOC1">
    <w:name w:val="toc 1"/>
    <w:basedOn w:val="Normal"/>
    <w:next w:val="Normal"/>
    <w:autoRedefine/>
    <w:uiPriority w:val="39"/>
    <w:unhideWhenUsed/>
    <w:rsid w:val="000336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540">
      <w:bodyDiv w:val="1"/>
      <w:marLeft w:val="0"/>
      <w:marRight w:val="0"/>
      <w:marTop w:val="0"/>
      <w:marBottom w:val="0"/>
      <w:divBdr>
        <w:top w:val="none" w:sz="0" w:space="0" w:color="auto"/>
        <w:left w:val="none" w:sz="0" w:space="0" w:color="auto"/>
        <w:bottom w:val="none" w:sz="0" w:space="0" w:color="auto"/>
        <w:right w:val="none" w:sz="0" w:space="0" w:color="auto"/>
      </w:divBdr>
    </w:div>
    <w:div w:id="102314010">
      <w:bodyDiv w:val="1"/>
      <w:marLeft w:val="0"/>
      <w:marRight w:val="0"/>
      <w:marTop w:val="0"/>
      <w:marBottom w:val="0"/>
      <w:divBdr>
        <w:top w:val="none" w:sz="0" w:space="0" w:color="auto"/>
        <w:left w:val="none" w:sz="0" w:space="0" w:color="auto"/>
        <w:bottom w:val="none" w:sz="0" w:space="0" w:color="auto"/>
        <w:right w:val="none" w:sz="0" w:space="0" w:color="auto"/>
      </w:divBdr>
    </w:div>
    <w:div w:id="205802236">
      <w:bodyDiv w:val="1"/>
      <w:marLeft w:val="0"/>
      <w:marRight w:val="0"/>
      <w:marTop w:val="0"/>
      <w:marBottom w:val="0"/>
      <w:divBdr>
        <w:top w:val="none" w:sz="0" w:space="0" w:color="auto"/>
        <w:left w:val="none" w:sz="0" w:space="0" w:color="auto"/>
        <w:bottom w:val="none" w:sz="0" w:space="0" w:color="auto"/>
        <w:right w:val="none" w:sz="0" w:space="0" w:color="auto"/>
      </w:divBdr>
    </w:div>
    <w:div w:id="248855577">
      <w:bodyDiv w:val="1"/>
      <w:marLeft w:val="0"/>
      <w:marRight w:val="0"/>
      <w:marTop w:val="0"/>
      <w:marBottom w:val="0"/>
      <w:divBdr>
        <w:top w:val="none" w:sz="0" w:space="0" w:color="auto"/>
        <w:left w:val="none" w:sz="0" w:space="0" w:color="auto"/>
        <w:bottom w:val="none" w:sz="0" w:space="0" w:color="auto"/>
        <w:right w:val="none" w:sz="0" w:space="0" w:color="auto"/>
      </w:divBdr>
    </w:div>
    <w:div w:id="494610864">
      <w:bodyDiv w:val="1"/>
      <w:marLeft w:val="0"/>
      <w:marRight w:val="0"/>
      <w:marTop w:val="0"/>
      <w:marBottom w:val="0"/>
      <w:divBdr>
        <w:top w:val="none" w:sz="0" w:space="0" w:color="auto"/>
        <w:left w:val="none" w:sz="0" w:space="0" w:color="auto"/>
        <w:bottom w:val="none" w:sz="0" w:space="0" w:color="auto"/>
        <w:right w:val="none" w:sz="0" w:space="0" w:color="auto"/>
      </w:divBdr>
      <w:divsChild>
        <w:div w:id="940602664">
          <w:blockQuote w:val="1"/>
          <w:marLeft w:val="800"/>
          <w:marRight w:val="800"/>
          <w:marTop w:val="240"/>
          <w:marBottom w:val="240"/>
          <w:divBdr>
            <w:top w:val="none" w:sz="0" w:space="0" w:color="auto"/>
            <w:left w:val="none" w:sz="0" w:space="0" w:color="auto"/>
            <w:bottom w:val="none" w:sz="0" w:space="0" w:color="auto"/>
            <w:right w:val="none" w:sz="0" w:space="0" w:color="auto"/>
          </w:divBdr>
        </w:div>
      </w:divsChild>
    </w:div>
    <w:div w:id="505947815">
      <w:bodyDiv w:val="1"/>
      <w:marLeft w:val="0"/>
      <w:marRight w:val="0"/>
      <w:marTop w:val="0"/>
      <w:marBottom w:val="0"/>
      <w:divBdr>
        <w:top w:val="none" w:sz="0" w:space="0" w:color="auto"/>
        <w:left w:val="none" w:sz="0" w:space="0" w:color="auto"/>
        <w:bottom w:val="none" w:sz="0" w:space="0" w:color="auto"/>
        <w:right w:val="none" w:sz="0" w:space="0" w:color="auto"/>
      </w:divBdr>
      <w:divsChild>
        <w:div w:id="1335840581">
          <w:blockQuote w:val="1"/>
          <w:marLeft w:val="800"/>
          <w:marRight w:val="800"/>
          <w:marTop w:val="240"/>
          <w:marBottom w:val="240"/>
          <w:divBdr>
            <w:top w:val="none" w:sz="0" w:space="0" w:color="auto"/>
            <w:left w:val="none" w:sz="0" w:space="0" w:color="auto"/>
            <w:bottom w:val="none" w:sz="0" w:space="0" w:color="auto"/>
            <w:right w:val="none" w:sz="0" w:space="0" w:color="auto"/>
          </w:divBdr>
        </w:div>
      </w:divsChild>
    </w:div>
    <w:div w:id="507602495">
      <w:bodyDiv w:val="1"/>
      <w:marLeft w:val="0"/>
      <w:marRight w:val="0"/>
      <w:marTop w:val="0"/>
      <w:marBottom w:val="0"/>
      <w:divBdr>
        <w:top w:val="none" w:sz="0" w:space="0" w:color="auto"/>
        <w:left w:val="none" w:sz="0" w:space="0" w:color="auto"/>
        <w:bottom w:val="none" w:sz="0" w:space="0" w:color="auto"/>
        <w:right w:val="none" w:sz="0" w:space="0" w:color="auto"/>
      </w:divBdr>
    </w:div>
    <w:div w:id="545875715">
      <w:bodyDiv w:val="1"/>
      <w:marLeft w:val="0"/>
      <w:marRight w:val="0"/>
      <w:marTop w:val="0"/>
      <w:marBottom w:val="0"/>
      <w:divBdr>
        <w:top w:val="none" w:sz="0" w:space="0" w:color="auto"/>
        <w:left w:val="none" w:sz="0" w:space="0" w:color="auto"/>
        <w:bottom w:val="none" w:sz="0" w:space="0" w:color="auto"/>
        <w:right w:val="none" w:sz="0" w:space="0" w:color="auto"/>
      </w:divBdr>
      <w:divsChild>
        <w:div w:id="1746410766">
          <w:blockQuote w:val="1"/>
          <w:marLeft w:val="800"/>
          <w:marRight w:val="800"/>
          <w:marTop w:val="240"/>
          <w:marBottom w:val="240"/>
          <w:divBdr>
            <w:top w:val="none" w:sz="0" w:space="0" w:color="auto"/>
            <w:left w:val="none" w:sz="0" w:space="0" w:color="auto"/>
            <w:bottom w:val="none" w:sz="0" w:space="0" w:color="auto"/>
            <w:right w:val="none" w:sz="0" w:space="0" w:color="auto"/>
          </w:divBdr>
        </w:div>
      </w:divsChild>
    </w:div>
    <w:div w:id="584415302">
      <w:bodyDiv w:val="1"/>
      <w:marLeft w:val="0"/>
      <w:marRight w:val="0"/>
      <w:marTop w:val="0"/>
      <w:marBottom w:val="0"/>
      <w:divBdr>
        <w:top w:val="none" w:sz="0" w:space="0" w:color="auto"/>
        <w:left w:val="none" w:sz="0" w:space="0" w:color="auto"/>
        <w:bottom w:val="none" w:sz="0" w:space="0" w:color="auto"/>
        <w:right w:val="none" w:sz="0" w:space="0" w:color="auto"/>
      </w:divBdr>
    </w:div>
    <w:div w:id="590242706">
      <w:bodyDiv w:val="1"/>
      <w:marLeft w:val="0"/>
      <w:marRight w:val="0"/>
      <w:marTop w:val="0"/>
      <w:marBottom w:val="0"/>
      <w:divBdr>
        <w:top w:val="none" w:sz="0" w:space="0" w:color="auto"/>
        <w:left w:val="none" w:sz="0" w:space="0" w:color="auto"/>
        <w:bottom w:val="none" w:sz="0" w:space="0" w:color="auto"/>
        <w:right w:val="none" w:sz="0" w:space="0" w:color="auto"/>
      </w:divBdr>
    </w:div>
    <w:div w:id="808716401">
      <w:bodyDiv w:val="1"/>
      <w:marLeft w:val="0"/>
      <w:marRight w:val="0"/>
      <w:marTop w:val="0"/>
      <w:marBottom w:val="0"/>
      <w:divBdr>
        <w:top w:val="none" w:sz="0" w:space="0" w:color="auto"/>
        <w:left w:val="none" w:sz="0" w:space="0" w:color="auto"/>
        <w:bottom w:val="none" w:sz="0" w:space="0" w:color="auto"/>
        <w:right w:val="none" w:sz="0" w:space="0" w:color="auto"/>
      </w:divBdr>
    </w:div>
    <w:div w:id="844327208">
      <w:bodyDiv w:val="1"/>
      <w:marLeft w:val="0"/>
      <w:marRight w:val="0"/>
      <w:marTop w:val="0"/>
      <w:marBottom w:val="0"/>
      <w:divBdr>
        <w:top w:val="none" w:sz="0" w:space="0" w:color="auto"/>
        <w:left w:val="none" w:sz="0" w:space="0" w:color="auto"/>
        <w:bottom w:val="none" w:sz="0" w:space="0" w:color="auto"/>
        <w:right w:val="none" w:sz="0" w:space="0" w:color="auto"/>
      </w:divBdr>
    </w:div>
    <w:div w:id="881787677">
      <w:bodyDiv w:val="1"/>
      <w:marLeft w:val="0"/>
      <w:marRight w:val="0"/>
      <w:marTop w:val="0"/>
      <w:marBottom w:val="0"/>
      <w:divBdr>
        <w:top w:val="none" w:sz="0" w:space="0" w:color="auto"/>
        <w:left w:val="none" w:sz="0" w:space="0" w:color="auto"/>
        <w:bottom w:val="none" w:sz="0" w:space="0" w:color="auto"/>
        <w:right w:val="none" w:sz="0" w:space="0" w:color="auto"/>
      </w:divBdr>
    </w:div>
    <w:div w:id="912927779">
      <w:bodyDiv w:val="1"/>
      <w:marLeft w:val="0"/>
      <w:marRight w:val="0"/>
      <w:marTop w:val="0"/>
      <w:marBottom w:val="0"/>
      <w:divBdr>
        <w:top w:val="none" w:sz="0" w:space="0" w:color="auto"/>
        <w:left w:val="none" w:sz="0" w:space="0" w:color="auto"/>
        <w:bottom w:val="none" w:sz="0" w:space="0" w:color="auto"/>
        <w:right w:val="none" w:sz="0" w:space="0" w:color="auto"/>
      </w:divBdr>
      <w:divsChild>
        <w:div w:id="742803209">
          <w:blockQuote w:val="1"/>
          <w:marLeft w:val="800"/>
          <w:marRight w:val="800"/>
          <w:marTop w:val="240"/>
          <w:marBottom w:val="240"/>
          <w:divBdr>
            <w:top w:val="none" w:sz="0" w:space="0" w:color="auto"/>
            <w:left w:val="none" w:sz="0" w:space="0" w:color="auto"/>
            <w:bottom w:val="none" w:sz="0" w:space="0" w:color="auto"/>
            <w:right w:val="none" w:sz="0" w:space="0" w:color="auto"/>
          </w:divBdr>
        </w:div>
      </w:divsChild>
    </w:div>
    <w:div w:id="1004631107">
      <w:bodyDiv w:val="1"/>
      <w:marLeft w:val="0"/>
      <w:marRight w:val="0"/>
      <w:marTop w:val="0"/>
      <w:marBottom w:val="0"/>
      <w:divBdr>
        <w:top w:val="none" w:sz="0" w:space="0" w:color="auto"/>
        <w:left w:val="none" w:sz="0" w:space="0" w:color="auto"/>
        <w:bottom w:val="none" w:sz="0" w:space="0" w:color="auto"/>
        <w:right w:val="none" w:sz="0" w:space="0" w:color="auto"/>
      </w:divBdr>
    </w:div>
    <w:div w:id="1128857789">
      <w:bodyDiv w:val="1"/>
      <w:marLeft w:val="0"/>
      <w:marRight w:val="0"/>
      <w:marTop w:val="0"/>
      <w:marBottom w:val="0"/>
      <w:divBdr>
        <w:top w:val="none" w:sz="0" w:space="0" w:color="auto"/>
        <w:left w:val="none" w:sz="0" w:space="0" w:color="auto"/>
        <w:bottom w:val="none" w:sz="0" w:space="0" w:color="auto"/>
        <w:right w:val="none" w:sz="0" w:space="0" w:color="auto"/>
      </w:divBdr>
    </w:div>
    <w:div w:id="1214194383">
      <w:bodyDiv w:val="1"/>
      <w:marLeft w:val="0"/>
      <w:marRight w:val="0"/>
      <w:marTop w:val="0"/>
      <w:marBottom w:val="0"/>
      <w:divBdr>
        <w:top w:val="none" w:sz="0" w:space="0" w:color="auto"/>
        <w:left w:val="none" w:sz="0" w:space="0" w:color="auto"/>
        <w:bottom w:val="none" w:sz="0" w:space="0" w:color="auto"/>
        <w:right w:val="none" w:sz="0" w:space="0" w:color="auto"/>
      </w:divBdr>
    </w:div>
    <w:div w:id="1690567711">
      <w:bodyDiv w:val="1"/>
      <w:marLeft w:val="0"/>
      <w:marRight w:val="0"/>
      <w:marTop w:val="0"/>
      <w:marBottom w:val="0"/>
      <w:divBdr>
        <w:top w:val="none" w:sz="0" w:space="0" w:color="auto"/>
        <w:left w:val="none" w:sz="0" w:space="0" w:color="auto"/>
        <w:bottom w:val="none" w:sz="0" w:space="0" w:color="auto"/>
        <w:right w:val="none" w:sz="0" w:space="0" w:color="auto"/>
      </w:divBdr>
    </w:div>
    <w:div w:id="1804038435">
      <w:bodyDiv w:val="1"/>
      <w:marLeft w:val="0"/>
      <w:marRight w:val="0"/>
      <w:marTop w:val="0"/>
      <w:marBottom w:val="0"/>
      <w:divBdr>
        <w:top w:val="none" w:sz="0" w:space="0" w:color="auto"/>
        <w:left w:val="none" w:sz="0" w:space="0" w:color="auto"/>
        <w:bottom w:val="none" w:sz="0" w:space="0" w:color="auto"/>
        <w:right w:val="none" w:sz="0" w:space="0" w:color="auto"/>
      </w:divBdr>
    </w:div>
    <w:div w:id="1842044221">
      <w:bodyDiv w:val="1"/>
      <w:marLeft w:val="0"/>
      <w:marRight w:val="0"/>
      <w:marTop w:val="0"/>
      <w:marBottom w:val="0"/>
      <w:divBdr>
        <w:top w:val="none" w:sz="0" w:space="0" w:color="auto"/>
        <w:left w:val="none" w:sz="0" w:space="0" w:color="auto"/>
        <w:bottom w:val="none" w:sz="0" w:space="0" w:color="auto"/>
        <w:right w:val="none" w:sz="0" w:space="0" w:color="auto"/>
      </w:divBdr>
    </w:div>
    <w:div w:id="193812784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0">
          <w:blockQuote w:val="1"/>
          <w:marLeft w:val="720"/>
          <w:marRight w:val="720"/>
          <w:marTop w:val="100"/>
          <w:marBottom w:val="100"/>
          <w:divBdr>
            <w:top w:val="none" w:sz="0" w:space="0" w:color="auto"/>
            <w:left w:val="single" w:sz="48" w:space="0" w:color="EEEEEE"/>
            <w:bottom w:val="none" w:sz="0" w:space="0" w:color="auto"/>
            <w:right w:val="none" w:sz="0" w:space="0" w:color="auto"/>
          </w:divBdr>
        </w:div>
      </w:divsChild>
    </w:div>
    <w:div w:id="2031950730">
      <w:bodyDiv w:val="1"/>
      <w:marLeft w:val="0"/>
      <w:marRight w:val="0"/>
      <w:marTop w:val="0"/>
      <w:marBottom w:val="0"/>
      <w:divBdr>
        <w:top w:val="none" w:sz="0" w:space="0" w:color="auto"/>
        <w:left w:val="none" w:sz="0" w:space="0" w:color="auto"/>
        <w:bottom w:val="none" w:sz="0" w:space="0" w:color="auto"/>
        <w:right w:val="none" w:sz="0" w:space="0" w:color="auto"/>
      </w:divBdr>
    </w:div>
    <w:div w:id="205785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qweri.lexum.com/calegis/schedule-b-to-the-canada-act-1982-uk-1982-c-1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stis.vlex.com/vid/7928563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tis.vlex.com/vid/7937442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reme.justia.com/cases/federal/us/397/358/" TargetMode="External"/><Relationship Id="rId4" Type="http://schemas.openxmlformats.org/officeDocument/2006/relationships/settings" Target="settings.xml"/><Relationship Id="rId9" Type="http://schemas.openxmlformats.org/officeDocument/2006/relationships/hyperlink" Target="https://qweri.lexum.com/calegis/schedule-b-to-the-canada-act-1982-uk-1982-c-11-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ilii.org/ie/cases/IESC/2017/S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D3C7-8EBA-4E61-B65B-09009B9F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8817</Words>
  <Characters>43468</Characters>
  <Application>Microsoft Office Word</Application>
  <DocSecurity>0</DocSecurity>
  <Lines>820</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Lynam</dc:creator>
  <cp:keywords/>
  <dc:description/>
  <cp:lastModifiedBy>Rosa Eivers (IHREC)</cp:lastModifiedBy>
  <cp:revision>28</cp:revision>
  <cp:lastPrinted>2023-03-01T14:58:00Z</cp:lastPrinted>
  <dcterms:created xsi:type="dcterms:W3CDTF">2023-03-01T14:40:00Z</dcterms:created>
  <dcterms:modified xsi:type="dcterms:W3CDTF">2023-03-01T16:13:00Z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SiteID">
    <vt:lpwstr>060EF224-9EAB-472B-8BC3-8CD4B62D8158</vt:lpwstr>
  </property>
  <property fmtid="{D5CDD505-2E9C-101B-9397-08002B2CF9AE}" pid="3" name="KeyhouseTrackReference">
    <vt:lpwstr>445968</vt:lpwstr>
  </property>
  <property fmtid="{D5CDD505-2E9C-101B-9397-08002B2CF9AE}" pid="4" name="KeyhouseVersionNumber">
    <vt:lpwstr>9</vt:lpwstr>
  </property>
  <property fmtid="{D5CDD505-2E9C-101B-9397-08002B2CF9AE}" pid="5" name="KeyhouseMatterReference">
    <vt:lpwstr>AMI023/0001</vt:lpwstr>
  </property>
  <property fmtid="{D5CDD505-2E9C-101B-9397-08002B2CF9AE}" pid="6" name="KeyhouseFileLocation">
    <vt:lpwstr>\\itservices.gov.ie\dfs\groups\ihrec\KeyHouse\Keyhouse\client documents\AMI023\0001\Final Submissions of Amicus_445968.docx</vt:lpwstr>
  </property>
</Properties>
</file>