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79" w:rsidRPr="00501BF8" w:rsidRDefault="00C72756">
      <w:pPr>
        <w:spacing w:line="570" w:lineRule="exact"/>
        <w:ind w:left="112"/>
        <w:rPr>
          <w:b/>
          <w:sz w:val="48"/>
          <w:lang w:val="en-IE"/>
        </w:rPr>
      </w:pPr>
      <w:r w:rsidRPr="00501BF8">
        <w:rPr>
          <w:noProof/>
          <w:lang w:val="en-IE" w:eastAsia="en-IE"/>
        </w:rPr>
        <w:drawing>
          <wp:anchor distT="0" distB="0" distL="0" distR="0" simplePos="0" relativeHeight="487484416" behindDoc="1" locked="0" layoutInCell="1" allowOverlap="1">
            <wp:simplePos x="0" y="0"/>
            <wp:positionH relativeFrom="page">
              <wp:posOffset>12700</wp:posOffset>
            </wp:positionH>
            <wp:positionV relativeFrom="page">
              <wp:posOffset>0</wp:posOffset>
            </wp:positionV>
            <wp:extent cx="7547863" cy="10688318"/>
            <wp:effectExtent l="0" t="0" r="0" b="0"/>
            <wp:wrapNone/>
            <wp:docPr id="1" name="Image 1" descr="Decorative 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corative Cove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863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1BF8">
        <w:rPr>
          <w:b/>
          <w:color w:val="7E7E7E"/>
          <w:spacing w:val="-2"/>
          <w:sz w:val="48"/>
          <w:lang w:val="en-IE"/>
        </w:rPr>
        <w:t>GUIDE</w:t>
      </w:r>
    </w:p>
    <w:p w:rsidR="00DA1C79" w:rsidRPr="00501BF8" w:rsidRDefault="00C72756">
      <w:pPr>
        <w:pStyle w:val="Title"/>
        <w:spacing w:line="276" w:lineRule="auto"/>
        <w:rPr>
          <w:lang w:val="en-IE"/>
        </w:rPr>
      </w:pPr>
      <w:r w:rsidRPr="00501BF8">
        <w:rPr>
          <w:color w:val="39373A"/>
          <w:lang w:val="en-IE"/>
        </w:rPr>
        <w:t>Guide</w:t>
      </w:r>
      <w:r w:rsidRPr="00501BF8">
        <w:rPr>
          <w:color w:val="39373A"/>
          <w:spacing w:val="-9"/>
          <w:lang w:val="en-IE"/>
        </w:rPr>
        <w:t xml:space="preserve"> </w:t>
      </w:r>
      <w:r w:rsidRPr="00501BF8">
        <w:rPr>
          <w:color w:val="39373A"/>
          <w:lang w:val="en-IE"/>
        </w:rPr>
        <w:t>to</w:t>
      </w:r>
      <w:r w:rsidRPr="00501BF8">
        <w:rPr>
          <w:color w:val="39373A"/>
          <w:spacing w:val="-9"/>
          <w:lang w:val="en-IE"/>
        </w:rPr>
        <w:t xml:space="preserve"> </w:t>
      </w:r>
      <w:r w:rsidRPr="00501BF8">
        <w:rPr>
          <w:color w:val="39373A"/>
          <w:lang w:val="en-IE"/>
        </w:rPr>
        <w:t>Reporting</w:t>
      </w:r>
      <w:r w:rsidRPr="00501BF8">
        <w:rPr>
          <w:color w:val="39373A"/>
          <w:spacing w:val="-8"/>
          <w:lang w:val="en-IE"/>
        </w:rPr>
        <w:t xml:space="preserve"> </w:t>
      </w:r>
      <w:r w:rsidRPr="00501BF8">
        <w:rPr>
          <w:color w:val="39373A"/>
          <w:lang w:val="en-IE"/>
        </w:rPr>
        <w:t>under</w:t>
      </w:r>
      <w:r w:rsidRPr="00501BF8">
        <w:rPr>
          <w:color w:val="39373A"/>
          <w:spacing w:val="-11"/>
          <w:lang w:val="en-IE"/>
        </w:rPr>
        <w:t xml:space="preserve"> </w:t>
      </w:r>
      <w:r w:rsidRPr="00501BF8">
        <w:rPr>
          <w:color w:val="39373A"/>
          <w:lang w:val="en-IE"/>
        </w:rPr>
        <w:t>the International Covenant on Economic,</w:t>
      </w:r>
      <w:r w:rsidRPr="00501BF8">
        <w:rPr>
          <w:color w:val="39373A"/>
          <w:spacing w:val="-10"/>
          <w:lang w:val="en-IE"/>
        </w:rPr>
        <w:t xml:space="preserve"> </w:t>
      </w:r>
      <w:r w:rsidRPr="00501BF8">
        <w:rPr>
          <w:color w:val="39373A"/>
          <w:lang w:val="en-IE"/>
        </w:rPr>
        <w:t>Social</w:t>
      </w:r>
      <w:r w:rsidRPr="00501BF8">
        <w:rPr>
          <w:color w:val="39373A"/>
          <w:spacing w:val="-10"/>
          <w:lang w:val="en-IE"/>
        </w:rPr>
        <w:t xml:space="preserve"> </w:t>
      </w:r>
      <w:r w:rsidRPr="00501BF8">
        <w:rPr>
          <w:color w:val="39373A"/>
          <w:lang w:val="en-IE"/>
        </w:rPr>
        <w:t>and</w:t>
      </w:r>
      <w:r w:rsidRPr="00501BF8">
        <w:rPr>
          <w:color w:val="39373A"/>
          <w:spacing w:val="-10"/>
          <w:lang w:val="en-IE"/>
        </w:rPr>
        <w:t xml:space="preserve"> </w:t>
      </w:r>
      <w:r w:rsidRPr="00501BF8">
        <w:rPr>
          <w:color w:val="39373A"/>
          <w:lang w:val="en-IE"/>
        </w:rPr>
        <w:t xml:space="preserve">Cultural </w:t>
      </w:r>
      <w:r w:rsidRPr="00501BF8">
        <w:rPr>
          <w:color w:val="39373A"/>
          <w:spacing w:val="-2"/>
          <w:lang w:val="en-IE"/>
        </w:rPr>
        <w:t>Rights</w:t>
      </w:r>
    </w:p>
    <w:p w:rsidR="00DA1C79" w:rsidRPr="00501BF8" w:rsidRDefault="00C72756">
      <w:pPr>
        <w:spacing w:before="171" w:line="340" w:lineRule="auto"/>
        <w:ind w:left="112" w:right="3438"/>
        <w:rPr>
          <w:sz w:val="32"/>
          <w:lang w:val="en-IE"/>
        </w:rPr>
      </w:pPr>
      <w:r w:rsidRPr="00501BF8">
        <w:rPr>
          <w:color w:val="39373A"/>
          <w:sz w:val="32"/>
          <w:lang w:val="en-IE"/>
        </w:rPr>
        <w:t>Irish</w:t>
      </w:r>
      <w:r w:rsidRPr="00501BF8">
        <w:rPr>
          <w:color w:val="39373A"/>
          <w:spacing w:val="-8"/>
          <w:sz w:val="32"/>
          <w:lang w:val="en-IE"/>
        </w:rPr>
        <w:t xml:space="preserve"> </w:t>
      </w:r>
      <w:r w:rsidRPr="00501BF8">
        <w:rPr>
          <w:color w:val="39373A"/>
          <w:sz w:val="32"/>
          <w:lang w:val="en-IE"/>
        </w:rPr>
        <w:t>Human</w:t>
      </w:r>
      <w:r w:rsidRPr="00501BF8">
        <w:rPr>
          <w:color w:val="39373A"/>
          <w:spacing w:val="-8"/>
          <w:sz w:val="32"/>
          <w:lang w:val="en-IE"/>
        </w:rPr>
        <w:t xml:space="preserve"> </w:t>
      </w:r>
      <w:r w:rsidRPr="00501BF8">
        <w:rPr>
          <w:color w:val="39373A"/>
          <w:sz w:val="32"/>
          <w:lang w:val="en-IE"/>
        </w:rPr>
        <w:t>Rights</w:t>
      </w:r>
      <w:r w:rsidRPr="00501BF8">
        <w:rPr>
          <w:color w:val="39373A"/>
          <w:spacing w:val="-8"/>
          <w:sz w:val="32"/>
          <w:lang w:val="en-IE"/>
        </w:rPr>
        <w:t xml:space="preserve"> </w:t>
      </w:r>
      <w:r w:rsidRPr="00501BF8">
        <w:rPr>
          <w:color w:val="39373A"/>
          <w:sz w:val="32"/>
          <w:lang w:val="en-IE"/>
        </w:rPr>
        <w:t>and</w:t>
      </w:r>
      <w:r w:rsidRPr="00501BF8">
        <w:rPr>
          <w:color w:val="39373A"/>
          <w:spacing w:val="-8"/>
          <w:sz w:val="32"/>
          <w:lang w:val="en-IE"/>
        </w:rPr>
        <w:t xml:space="preserve"> </w:t>
      </w:r>
      <w:r w:rsidRPr="00501BF8">
        <w:rPr>
          <w:color w:val="39373A"/>
          <w:sz w:val="32"/>
          <w:lang w:val="en-IE"/>
        </w:rPr>
        <w:t>Equality</w:t>
      </w:r>
      <w:r w:rsidRPr="00501BF8">
        <w:rPr>
          <w:color w:val="39373A"/>
          <w:spacing w:val="-8"/>
          <w:sz w:val="32"/>
          <w:lang w:val="en-IE"/>
        </w:rPr>
        <w:t xml:space="preserve"> </w:t>
      </w:r>
      <w:r w:rsidRPr="00501BF8">
        <w:rPr>
          <w:color w:val="39373A"/>
          <w:sz w:val="32"/>
          <w:lang w:val="en-IE"/>
        </w:rPr>
        <w:t>Commission June 2023</w:t>
      </w:r>
    </w:p>
    <w:p w:rsidR="00DA1C79" w:rsidRPr="00501BF8" w:rsidRDefault="00DA1C79">
      <w:pPr>
        <w:spacing w:line="340" w:lineRule="auto"/>
        <w:rPr>
          <w:sz w:val="32"/>
          <w:lang w:val="en-IE"/>
        </w:rPr>
        <w:sectPr w:rsidR="00DA1C79" w:rsidRPr="00501BF8">
          <w:type w:val="continuous"/>
          <w:pgSz w:w="11910" w:h="16840"/>
          <w:pgMar w:top="280" w:right="1020" w:bottom="280" w:left="1020" w:header="720" w:footer="720" w:gutter="0"/>
          <w:cols w:space="720"/>
        </w:sectPr>
      </w:pPr>
    </w:p>
    <w:p w:rsidR="00DA1C79" w:rsidRPr="00501BF8" w:rsidRDefault="00C72756">
      <w:pPr>
        <w:spacing w:before="40" w:line="535" w:lineRule="auto"/>
        <w:ind w:left="420" w:right="4206"/>
        <w:rPr>
          <w:sz w:val="18"/>
          <w:lang w:val="en-IE"/>
        </w:rPr>
      </w:pPr>
      <w:r w:rsidRPr="00501BF8">
        <w:rPr>
          <w:sz w:val="18"/>
          <w:lang w:val="en-IE"/>
        </w:rPr>
        <w:lastRenderedPageBreak/>
        <w:t>Published by the Irish Human Rights</w:t>
      </w:r>
      <w:r w:rsidRPr="00501BF8">
        <w:rPr>
          <w:spacing w:val="-1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and Equality Commission. Copyright</w:t>
      </w:r>
      <w:r w:rsidRPr="00501BF8">
        <w:rPr>
          <w:spacing w:val="-5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©</w:t>
      </w:r>
      <w:r w:rsidRPr="00501BF8">
        <w:rPr>
          <w:spacing w:val="-5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Irish</w:t>
      </w:r>
      <w:r w:rsidRPr="00501BF8">
        <w:rPr>
          <w:spacing w:val="-5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Human</w:t>
      </w:r>
      <w:r w:rsidRPr="00501BF8">
        <w:rPr>
          <w:spacing w:val="-5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Rights</w:t>
      </w:r>
      <w:r w:rsidRPr="00501BF8">
        <w:rPr>
          <w:spacing w:val="-6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and</w:t>
      </w:r>
      <w:r w:rsidRPr="00501BF8">
        <w:rPr>
          <w:spacing w:val="-5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Equality</w:t>
      </w:r>
      <w:r w:rsidRPr="00501BF8">
        <w:rPr>
          <w:spacing w:val="-5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Commission</w:t>
      </w:r>
      <w:r w:rsidRPr="00501BF8">
        <w:rPr>
          <w:spacing w:val="-5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2023</w:t>
      </w:r>
    </w:p>
    <w:p w:rsidR="00DA1C79" w:rsidRPr="00501BF8" w:rsidRDefault="00C72756">
      <w:pPr>
        <w:spacing w:line="360" w:lineRule="auto"/>
        <w:ind w:left="420" w:right="353"/>
        <w:rPr>
          <w:sz w:val="18"/>
          <w:lang w:val="en-IE"/>
        </w:rPr>
      </w:pPr>
      <w:proofErr w:type="gramStart"/>
      <w:r w:rsidRPr="00501BF8">
        <w:rPr>
          <w:sz w:val="18"/>
          <w:lang w:val="en-IE"/>
        </w:rPr>
        <w:t>The Irish Human Rights and Equality Commission was established under statute on 1 November 2014 to protect and promote</w:t>
      </w:r>
      <w:r w:rsidRPr="00501BF8">
        <w:rPr>
          <w:spacing w:val="-4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human</w:t>
      </w:r>
      <w:r w:rsidRPr="00501BF8">
        <w:rPr>
          <w:spacing w:val="-3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rights</w:t>
      </w:r>
      <w:r w:rsidRPr="00501BF8">
        <w:rPr>
          <w:spacing w:val="-3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and equality</w:t>
      </w:r>
      <w:r w:rsidRPr="00501BF8">
        <w:rPr>
          <w:spacing w:val="-2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in</w:t>
      </w:r>
      <w:r w:rsidRPr="00501BF8">
        <w:rPr>
          <w:spacing w:val="-3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Ireland,</w:t>
      </w:r>
      <w:r w:rsidRPr="00501BF8">
        <w:rPr>
          <w:spacing w:val="-2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to</w:t>
      </w:r>
      <w:r w:rsidRPr="00501BF8">
        <w:rPr>
          <w:spacing w:val="-2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promote</w:t>
      </w:r>
      <w:r w:rsidRPr="00501BF8">
        <w:rPr>
          <w:spacing w:val="-4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a</w:t>
      </w:r>
      <w:r w:rsidRPr="00501BF8">
        <w:rPr>
          <w:spacing w:val="-3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culture</w:t>
      </w:r>
      <w:r w:rsidRPr="00501BF8">
        <w:rPr>
          <w:spacing w:val="-3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of</w:t>
      </w:r>
      <w:r w:rsidRPr="00501BF8">
        <w:rPr>
          <w:spacing w:val="-3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respect</w:t>
      </w:r>
      <w:r w:rsidRPr="00501BF8">
        <w:rPr>
          <w:spacing w:val="-2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for</w:t>
      </w:r>
      <w:r w:rsidRPr="00501BF8">
        <w:rPr>
          <w:spacing w:val="-2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human</w:t>
      </w:r>
      <w:r w:rsidRPr="00501BF8">
        <w:rPr>
          <w:spacing w:val="-3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rights,</w:t>
      </w:r>
      <w:r w:rsidRPr="00501BF8">
        <w:rPr>
          <w:spacing w:val="-2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equality</w:t>
      </w:r>
      <w:r w:rsidRPr="00501BF8">
        <w:rPr>
          <w:spacing w:val="-2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and</w:t>
      </w:r>
      <w:r w:rsidRPr="00501BF8">
        <w:rPr>
          <w:spacing w:val="-3"/>
          <w:sz w:val="18"/>
          <w:lang w:val="en-IE"/>
        </w:rPr>
        <w:t xml:space="preserve"> </w:t>
      </w:r>
      <w:r w:rsidRPr="00501BF8">
        <w:rPr>
          <w:sz w:val="18"/>
          <w:lang w:val="en-IE"/>
        </w:rPr>
        <w:t>intercultural understanding, to promote understanding and awareness of the importance of human rights and equality, and to work towards the elimination of human rights abuses and discrimination.</w:t>
      </w:r>
      <w:proofErr w:type="gramEnd"/>
    </w:p>
    <w:p w:rsidR="00DA1C79" w:rsidRPr="00501BF8" w:rsidRDefault="00DA1C79">
      <w:pPr>
        <w:spacing w:line="360" w:lineRule="auto"/>
        <w:rPr>
          <w:sz w:val="18"/>
          <w:lang w:val="en-IE"/>
        </w:rPr>
        <w:sectPr w:rsidR="00DA1C79" w:rsidRPr="00501BF8">
          <w:pgSz w:w="11910" w:h="16840"/>
          <w:pgMar w:top="1380" w:right="1020" w:bottom="280" w:left="1020" w:header="720" w:footer="720" w:gutter="0"/>
          <w:cols w:space="720"/>
        </w:sectPr>
      </w:pPr>
    </w:p>
    <w:p w:rsidR="00DA1C79" w:rsidRPr="00501BF8" w:rsidRDefault="00C72756">
      <w:pPr>
        <w:pStyle w:val="Heading1"/>
        <w:spacing w:line="439" w:lineRule="exact"/>
        <w:rPr>
          <w:lang w:val="en-IE"/>
        </w:rPr>
      </w:pPr>
      <w:r w:rsidRPr="00501BF8">
        <w:rPr>
          <w:color w:val="0095A9"/>
          <w:spacing w:val="-2"/>
          <w:lang w:val="en-IE"/>
        </w:rPr>
        <w:lastRenderedPageBreak/>
        <w:t>Introduction</w:t>
      </w:r>
    </w:p>
    <w:p w:rsidR="00DA1C79" w:rsidRPr="00501BF8" w:rsidRDefault="00501BF8">
      <w:pPr>
        <w:pStyle w:val="BodyText"/>
        <w:spacing w:before="381" w:line="360" w:lineRule="auto"/>
        <w:ind w:left="112" w:right="136"/>
        <w:rPr>
          <w:lang w:val="en-IE"/>
        </w:rPr>
      </w:pPr>
      <w:r w:rsidRPr="00501BF8">
        <w:rPr>
          <w:lang w:val="en-IE"/>
        </w:rPr>
        <w:t>This g</w:t>
      </w:r>
      <w:r w:rsidR="00C72756" w:rsidRPr="00501BF8">
        <w:rPr>
          <w:lang w:val="en-IE"/>
        </w:rPr>
        <w:t xml:space="preserve">uide </w:t>
      </w:r>
      <w:proofErr w:type="gramStart"/>
      <w:r w:rsidR="00C72756" w:rsidRPr="00501BF8">
        <w:rPr>
          <w:lang w:val="en-IE"/>
        </w:rPr>
        <w:t>gives a brief introduction to</w:t>
      </w:r>
      <w:proofErr w:type="gramEnd"/>
      <w:r w:rsidR="00C72756" w:rsidRPr="00501BF8">
        <w:rPr>
          <w:lang w:val="en-IE"/>
        </w:rPr>
        <w:t xml:space="preserve"> the International Covenant on Economic, Social and Cultural</w:t>
      </w:r>
      <w:r w:rsidR="00C72756" w:rsidRPr="00501BF8">
        <w:rPr>
          <w:spacing w:val="-4"/>
          <w:lang w:val="en-IE"/>
        </w:rPr>
        <w:t xml:space="preserve"> </w:t>
      </w:r>
      <w:r w:rsidR="00C72756" w:rsidRPr="00501BF8">
        <w:rPr>
          <w:lang w:val="en-IE"/>
        </w:rPr>
        <w:t>Rights</w:t>
      </w:r>
      <w:r w:rsidR="00C72756"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(ICESCR)</w:t>
      </w:r>
      <w:r w:rsidR="00C72756" w:rsidRPr="00501BF8">
        <w:rPr>
          <w:lang w:val="en-IE"/>
        </w:rPr>
        <w:t>.</w:t>
      </w:r>
      <w:r w:rsidR="00C72756"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As Ireland has signed up to this Covenant, the State is</w:t>
      </w:r>
      <w:r w:rsidR="00C72756" w:rsidRPr="00501BF8">
        <w:rPr>
          <w:lang w:val="en-IE"/>
        </w:rPr>
        <w:t xml:space="preserve"> required to rep</w:t>
      </w:r>
      <w:r w:rsidRPr="00501BF8">
        <w:rPr>
          <w:lang w:val="en-IE"/>
        </w:rPr>
        <w:t xml:space="preserve">ort regularly on how it is </w:t>
      </w:r>
      <w:r w:rsidR="00C72756" w:rsidRPr="00501BF8">
        <w:rPr>
          <w:lang w:val="en-IE"/>
        </w:rPr>
        <w:t>implement</w:t>
      </w:r>
      <w:r w:rsidRPr="00501BF8">
        <w:rPr>
          <w:lang w:val="en-IE"/>
        </w:rPr>
        <w:t>ing</w:t>
      </w:r>
      <w:r w:rsidR="00C72756" w:rsidRPr="00501BF8">
        <w:rPr>
          <w:lang w:val="en-IE"/>
        </w:rPr>
        <w:t xml:space="preserve"> ICECSR.</w:t>
      </w:r>
      <w:r w:rsidRPr="00501BF8">
        <w:rPr>
          <w:lang w:val="en-IE"/>
        </w:rPr>
        <w:t xml:space="preserve"> The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UN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Committee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on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Economic,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Social and Cultural Rights receives these reports and monitors the application of ICESCR at national level. The</w:t>
      </w:r>
      <w:r w:rsidR="00C72756" w:rsidRPr="00501BF8">
        <w:rPr>
          <w:lang w:val="en-IE"/>
        </w:rPr>
        <w:t xml:space="preserve"> reporting process </w:t>
      </w:r>
      <w:proofErr w:type="gramStart"/>
      <w:r w:rsidR="00C72756" w:rsidRPr="00501BF8">
        <w:rPr>
          <w:lang w:val="en-IE"/>
        </w:rPr>
        <w:t>is explained</w:t>
      </w:r>
      <w:proofErr w:type="gramEnd"/>
      <w:r w:rsidR="00C72756" w:rsidRPr="00501BF8">
        <w:rPr>
          <w:spacing w:val="-4"/>
          <w:lang w:val="en-IE"/>
        </w:rPr>
        <w:t xml:space="preserve"> </w:t>
      </w:r>
      <w:r w:rsidR="00C72756" w:rsidRPr="00501BF8">
        <w:rPr>
          <w:lang w:val="en-IE"/>
        </w:rPr>
        <w:t>below,</w:t>
      </w:r>
      <w:r w:rsidR="00C72756" w:rsidRPr="00501BF8">
        <w:rPr>
          <w:spacing w:val="-3"/>
          <w:lang w:val="en-IE"/>
        </w:rPr>
        <w:t xml:space="preserve"> </w:t>
      </w:r>
      <w:r w:rsidR="00C72756" w:rsidRPr="00501BF8">
        <w:rPr>
          <w:lang w:val="en-IE"/>
        </w:rPr>
        <w:t>as</w:t>
      </w:r>
      <w:r w:rsidR="00C72756" w:rsidRPr="00501BF8">
        <w:rPr>
          <w:spacing w:val="-3"/>
          <w:lang w:val="en-IE"/>
        </w:rPr>
        <w:t xml:space="preserve"> </w:t>
      </w:r>
      <w:r w:rsidR="00C72756" w:rsidRPr="00501BF8">
        <w:rPr>
          <w:lang w:val="en-IE"/>
        </w:rPr>
        <w:t>is</w:t>
      </w:r>
      <w:r w:rsidR="00C72756" w:rsidRPr="00501BF8">
        <w:rPr>
          <w:spacing w:val="-5"/>
          <w:lang w:val="en-IE"/>
        </w:rPr>
        <w:t xml:space="preserve"> </w:t>
      </w:r>
      <w:r w:rsidR="00C72756" w:rsidRPr="00501BF8">
        <w:rPr>
          <w:lang w:val="en-IE"/>
        </w:rPr>
        <w:t>the</w:t>
      </w:r>
      <w:r w:rsidR="00C72756" w:rsidRPr="00501BF8">
        <w:rPr>
          <w:spacing w:val="-2"/>
          <w:lang w:val="en-IE"/>
        </w:rPr>
        <w:t xml:space="preserve"> </w:t>
      </w:r>
      <w:r w:rsidR="00C72756" w:rsidRPr="00501BF8">
        <w:rPr>
          <w:lang w:val="en-IE"/>
        </w:rPr>
        <w:t>importance</w:t>
      </w:r>
      <w:r w:rsidR="00C72756" w:rsidRPr="00501BF8">
        <w:rPr>
          <w:spacing w:val="-2"/>
          <w:lang w:val="en-IE"/>
        </w:rPr>
        <w:t xml:space="preserve"> </w:t>
      </w:r>
      <w:r w:rsidR="00C72756" w:rsidRPr="00501BF8">
        <w:rPr>
          <w:lang w:val="en-IE"/>
        </w:rPr>
        <w:t>of</w:t>
      </w:r>
      <w:r w:rsidR="00C72756" w:rsidRPr="00501BF8">
        <w:rPr>
          <w:spacing w:val="-2"/>
          <w:lang w:val="en-IE"/>
        </w:rPr>
        <w:t xml:space="preserve"> </w:t>
      </w:r>
      <w:r w:rsidR="00C72756" w:rsidRPr="00501BF8">
        <w:rPr>
          <w:lang w:val="en-IE"/>
        </w:rPr>
        <w:t>civil</w:t>
      </w:r>
      <w:r w:rsidR="00C72756" w:rsidRPr="00501BF8">
        <w:rPr>
          <w:spacing w:val="-3"/>
          <w:lang w:val="en-IE"/>
        </w:rPr>
        <w:t xml:space="preserve"> </w:t>
      </w:r>
      <w:r w:rsidR="00C72756" w:rsidRPr="00501BF8">
        <w:rPr>
          <w:lang w:val="en-IE"/>
        </w:rPr>
        <w:t>society</w:t>
      </w:r>
      <w:r w:rsidR="00C72756" w:rsidRPr="00501BF8">
        <w:rPr>
          <w:spacing w:val="-3"/>
          <w:lang w:val="en-IE"/>
        </w:rPr>
        <w:t xml:space="preserve"> </w:t>
      </w:r>
      <w:r w:rsidR="00C72756" w:rsidRPr="00501BF8">
        <w:rPr>
          <w:lang w:val="en-IE"/>
        </w:rPr>
        <w:t>engagement</w:t>
      </w:r>
      <w:r w:rsidR="00C72756" w:rsidRPr="00501BF8">
        <w:rPr>
          <w:spacing w:val="-2"/>
          <w:lang w:val="en-IE"/>
        </w:rPr>
        <w:t xml:space="preserve"> </w:t>
      </w:r>
      <w:r w:rsidR="00C72756" w:rsidRPr="00501BF8">
        <w:rPr>
          <w:lang w:val="en-IE"/>
        </w:rPr>
        <w:t>to</w:t>
      </w:r>
      <w:r w:rsidR="00C72756" w:rsidRPr="00501BF8">
        <w:rPr>
          <w:spacing w:val="-2"/>
          <w:lang w:val="en-IE"/>
        </w:rPr>
        <w:t xml:space="preserve"> </w:t>
      </w:r>
      <w:r w:rsidR="00C72756" w:rsidRPr="00501BF8">
        <w:rPr>
          <w:lang w:val="en-IE"/>
        </w:rPr>
        <w:t>provide</w:t>
      </w:r>
      <w:r w:rsidR="00C72756" w:rsidRPr="00501BF8">
        <w:rPr>
          <w:spacing w:val="-4"/>
          <w:lang w:val="en-IE"/>
        </w:rPr>
        <w:t xml:space="preserve"> </w:t>
      </w:r>
      <w:r w:rsidR="00C72756" w:rsidRPr="00501BF8">
        <w:rPr>
          <w:lang w:val="en-IE"/>
        </w:rPr>
        <w:t>its</w:t>
      </w:r>
      <w:r w:rsidR="00C72756" w:rsidRPr="00501BF8">
        <w:rPr>
          <w:spacing w:val="-5"/>
          <w:lang w:val="en-IE"/>
        </w:rPr>
        <w:t xml:space="preserve"> </w:t>
      </w:r>
      <w:r w:rsidR="00C72756" w:rsidRPr="00501BF8">
        <w:rPr>
          <w:lang w:val="en-IE"/>
        </w:rPr>
        <w:t xml:space="preserve">perspective on the extent to which Ireland is meeting its </w:t>
      </w:r>
      <w:r w:rsidRPr="00501BF8">
        <w:rPr>
          <w:lang w:val="en-IE"/>
        </w:rPr>
        <w:t xml:space="preserve">international human rights </w:t>
      </w:r>
      <w:r w:rsidR="00C72756" w:rsidRPr="00501BF8">
        <w:rPr>
          <w:lang w:val="en-IE"/>
        </w:rPr>
        <w:t>obligations.</w:t>
      </w:r>
    </w:p>
    <w:p w:rsidR="00DA1C79" w:rsidRPr="00501BF8" w:rsidRDefault="00C72756">
      <w:pPr>
        <w:pStyle w:val="Heading1"/>
        <w:spacing w:before="160"/>
        <w:rPr>
          <w:lang w:val="en-IE"/>
        </w:rPr>
      </w:pPr>
      <w:r w:rsidRPr="00501BF8">
        <w:rPr>
          <w:color w:val="0095A9"/>
          <w:lang w:val="en-IE"/>
        </w:rPr>
        <w:t>International</w:t>
      </w:r>
      <w:r w:rsidRPr="00501BF8">
        <w:rPr>
          <w:color w:val="0095A9"/>
          <w:spacing w:val="-5"/>
          <w:lang w:val="en-IE"/>
        </w:rPr>
        <w:t xml:space="preserve"> </w:t>
      </w:r>
      <w:r w:rsidRPr="00501BF8">
        <w:rPr>
          <w:color w:val="0095A9"/>
          <w:lang w:val="en-IE"/>
        </w:rPr>
        <w:t>Covenant</w:t>
      </w:r>
      <w:r w:rsidRPr="00501BF8">
        <w:rPr>
          <w:color w:val="0095A9"/>
          <w:spacing w:val="-2"/>
          <w:lang w:val="en-IE"/>
        </w:rPr>
        <w:t xml:space="preserve"> </w:t>
      </w:r>
      <w:r w:rsidRPr="00501BF8">
        <w:rPr>
          <w:color w:val="0095A9"/>
          <w:lang w:val="en-IE"/>
        </w:rPr>
        <w:t>on</w:t>
      </w:r>
      <w:r w:rsidRPr="00501BF8">
        <w:rPr>
          <w:color w:val="0095A9"/>
          <w:spacing w:val="-3"/>
          <w:lang w:val="en-IE"/>
        </w:rPr>
        <w:t xml:space="preserve"> </w:t>
      </w:r>
      <w:r w:rsidRPr="00501BF8">
        <w:rPr>
          <w:color w:val="0095A9"/>
          <w:lang w:val="en-IE"/>
        </w:rPr>
        <w:t>Economic,</w:t>
      </w:r>
      <w:r w:rsidRPr="00501BF8">
        <w:rPr>
          <w:color w:val="0095A9"/>
          <w:spacing w:val="-3"/>
          <w:lang w:val="en-IE"/>
        </w:rPr>
        <w:t xml:space="preserve"> </w:t>
      </w:r>
      <w:r w:rsidRPr="00501BF8">
        <w:rPr>
          <w:color w:val="0095A9"/>
          <w:lang w:val="en-IE"/>
        </w:rPr>
        <w:t>Social</w:t>
      </w:r>
      <w:r w:rsidRPr="00501BF8">
        <w:rPr>
          <w:color w:val="0095A9"/>
          <w:spacing w:val="-2"/>
          <w:lang w:val="en-IE"/>
        </w:rPr>
        <w:t xml:space="preserve"> </w:t>
      </w:r>
      <w:r w:rsidRPr="00501BF8">
        <w:rPr>
          <w:color w:val="0095A9"/>
          <w:lang w:val="en-IE"/>
        </w:rPr>
        <w:t>and</w:t>
      </w:r>
      <w:r w:rsidRPr="00501BF8">
        <w:rPr>
          <w:color w:val="0095A9"/>
          <w:spacing w:val="-3"/>
          <w:lang w:val="en-IE"/>
        </w:rPr>
        <w:t xml:space="preserve"> </w:t>
      </w:r>
      <w:r w:rsidRPr="00501BF8">
        <w:rPr>
          <w:color w:val="0095A9"/>
          <w:lang w:val="en-IE"/>
        </w:rPr>
        <w:t>Cultural</w:t>
      </w:r>
      <w:r w:rsidRPr="00501BF8">
        <w:rPr>
          <w:color w:val="0095A9"/>
          <w:spacing w:val="-2"/>
          <w:lang w:val="en-IE"/>
        </w:rPr>
        <w:t xml:space="preserve"> Rights</w:t>
      </w:r>
    </w:p>
    <w:p w:rsidR="00DA1C79" w:rsidRPr="00501BF8" w:rsidRDefault="00C72756">
      <w:pPr>
        <w:pStyle w:val="BodyText"/>
        <w:spacing w:before="381" w:line="360" w:lineRule="auto"/>
        <w:ind w:left="112" w:right="186"/>
        <w:rPr>
          <w:lang w:val="en-IE"/>
        </w:rPr>
      </w:pPr>
      <w:r w:rsidRPr="00501BF8">
        <w:rPr>
          <w:lang w:val="en-IE"/>
        </w:rPr>
        <w:t>The International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Covenant on Economic, Social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 xml:space="preserve">and Cultural Rights (ICESCR) </w:t>
      </w:r>
      <w:proofErr w:type="gramStart"/>
      <w:r w:rsidRPr="00501BF8">
        <w:rPr>
          <w:lang w:val="en-IE"/>
        </w:rPr>
        <w:t>was adopted in 1966 and entered into force in 1976</w:t>
      </w:r>
      <w:proofErr w:type="gramEnd"/>
      <w:r w:rsidRPr="00501BF8">
        <w:rPr>
          <w:lang w:val="en-IE"/>
        </w:rPr>
        <w:t xml:space="preserve">. </w:t>
      </w:r>
      <w:proofErr w:type="gramStart"/>
      <w:r w:rsidRPr="00501BF8">
        <w:rPr>
          <w:lang w:val="en-IE"/>
        </w:rPr>
        <w:t>171</w:t>
      </w:r>
      <w:proofErr w:type="gramEnd"/>
      <w:r w:rsidRPr="00501BF8">
        <w:rPr>
          <w:lang w:val="en-IE"/>
        </w:rPr>
        <w:t xml:space="preserve"> countries have ratified the Covenant, including Ireland in 1989,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which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means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that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State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has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committed</w:t>
      </w:r>
      <w:r w:rsidRPr="00501BF8">
        <w:rPr>
          <w:spacing w:val="-6"/>
          <w:lang w:val="en-IE"/>
        </w:rPr>
        <w:t xml:space="preserve"> </w:t>
      </w:r>
      <w:r w:rsidRPr="00501BF8">
        <w:rPr>
          <w:lang w:val="en-IE"/>
        </w:rPr>
        <w:t>to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respecting,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protecting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and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fulfilling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economic, social and cultural rights.</w:t>
      </w:r>
    </w:p>
    <w:p w:rsidR="00DA1C79" w:rsidRPr="00501BF8" w:rsidRDefault="00C72756">
      <w:pPr>
        <w:pStyle w:val="BodyText"/>
        <w:spacing w:before="160"/>
        <w:ind w:left="112"/>
        <w:rPr>
          <w:lang w:val="en-IE"/>
        </w:rPr>
      </w:pPr>
      <w:r w:rsidRPr="00501BF8">
        <w:rPr>
          <w:lang w:val="en-IE"/>
        </w:rPr>
        <w:t>The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rights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protected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by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 xml:space="preserve">Covenant </w:t>
      </w:r>
      <w:r w:rsidRPr="00501BF8">
        <w:rPr>
          <w:spacing w:val="-2"/>
          <w:lang w:val="en-IE"/>
        </w:rPr>
        <w:t>include:</w:t>
      </w:r>
    </w:p>
    <w:p w:rsidR="00DA1C79" w:rsidRPr="00501BF8" w:rsidRDefault="00DA1C79">
      <w:pPr>
        <w:pStyle w:val="BodyText"/>
        <w:spacing w:before="1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spacing w:before="1"/>
        <w:rPr>
          <w:sz w:val="24"/>
          <w:lang w:val="en-IE"/>
        </w:rPr>
      </w:pPr>
      <w:r w:rsidRPr="00501BF8">
        <w:rPr>
          <w:sz w:val="24"/>
          <w:lang w:val="en-IE"/>
        </w:rPr>
        <w:t>Labour</w:t>
      </w:r>
      <w:r w:rsidRPr="00501BF8">
        <w:rPr>
          <w:spacing w:val="-7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rights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(Arts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6-</w:t>
      </w:r>
      <w:r w:rsidRPr="00501BF8">
        <w:rPr>
          <w:spacing w:val="-5"/>
          <w:sz w:val="24"/>
          <w:lang w:val="en-IE"/>
        </w:rPr>
        <w:t>8)</w:t>
      </w:r>
    </w:p>
    <w:p w:rsidR="00DA1C79" w:rsidRPr="00501BF8" w:rsidRDefault="00DA1C79">
      <w:pPr>
        <w:pStyle w:val="BodyText"/>
        <w:spacing w:before="9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rPr>
          <w:sz w:val="24"/>
          <w:lang w:val="en-IE"/>
        </w:rPr>
      </w:pPr>
      <w:r w:rsidRPr="00501BF8">
        <w:rPr>
          <w:sz w:val="24"/>
          <w:lang w:val="en-IE"/>
        </w:rPr>
        <w:t>Social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security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pacing w:val="-5"/>
          <w:sz w:val="24"/>
          <w:lang w:val="en-IE"/>
        </w:rPr>
        <w:t>9)</w:t>
      </w:r>
    </w:p>
    <w:p w:rsidR="00DA1C79" w:rsidRPr="00501BF8" w:rsidRDefault="00DA1C79">
      <w:pPr>
        <w:pStyle w:val="BodyText"/>
        <w:spacing w:before="9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spacing w:before="1"/>
        <w:rPr>
          <w:sz w:val="24"/>
          <w:lang w:val="en-IE"/>
        </w:rPr>
      </w:pPr>
      <w:r w:rsidRPr="00501BF8">
        <w:rPr>
          <w:sz w:val="24"/>
          <w:lang w:val="en-IE"/>
        </w:rPr>
        <w:t>Protection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children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and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family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pacing w:val="-5"/>
          <w:sz w:val="24"/>
          <w:lang w:val="en-IE"/>
        </w:rPr>
        <w:t>10)</w:t>
      </w:r>
    </w:p>
    <w:p w:rsidR="00DA1C79" w:rsidRPr="00501BF8" w:rsidRDefault="00DA1C79">
      <w:pPr>
        <w:pStyle w:val="BodyText"/>
        <w:spacing w:before="9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rPr>
          <w:sz w:val="24"/>
          <w:lang w:val="en-IE"/>
        </w:rPr>
      </w:pPr>
      <w:r w:rsidRPr="00501BF8">
        <w:rPr>
          <w:sz w:val="24"/>
          <w:lang w:val="en-IE"/>
        </w:rPr>
        <w:t>Adequate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standard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living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pacing w:val="-5"/>
          <w:sz w:val="24"/>
          <w:lang w:val="en-IE"/>
        </w:rPr>
        <w:t>11)</w:t>
      </w:r>
    </w:p>
    <w:p w:rsidR="00DA1C79" w:rsidRPr="00501BF8" w:rsidRDefault="00DA1C79">
      <w:pPr>
        <w:pStyle w:val="BodyText"/>
        <w:spacing w:before="9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rPr>
          <w:sz w:val="24"/>
          <w:lang w:val="en-IE"/>
        </w:rPr>
      </w:pPr>
      <w:r w:rsidRPr="00501BF8">
        <w:rPr>
          <w:sz w:val="24"/>
          <w:lang w:val="en-IE"/>
        </w:rPr>
        <w:t>Health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pacing w:val="-5"/>
          <w:sz w:val="24"/>
          <w:lang w:val="en-IE"/>
        </w:rPr>
        <w:t>12)</w:t>
      </w:r>
    </w:p>
    <w:p w:rsidR="00DA1C79" w:rsidRPr="00501BF8" w:rsidRDefault="00DA1C79">
      <w:pPr>
        <w:pStyle w:val="BodyText"/>
        <w:spacing w:before="9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rPr>
          <w:sz w:val="24"/>
          <w:lang w:val="en-IE"/>
        </w:rPr>
      </w:pPr>
      <w:r w:rsidRPr="00501BF8">
        <w:rPr>
          <w:sz w:val="24"/>
          <w:lang w:val="en-IE"/>
        </w:rPr>
        <w:t>Education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(Arts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13-</w:t>
      </w:r>
      <w:r w:rsidRPr="00501BF8">
        <w:rPr>
          <w:spacing w:val="-5"/>
          <w:sz w:val="24"/>
          <w:lang w:val="en-IE"/>
        </w:rPr>
        <w:t>14)</w:t>
      </w:r>
    </w:p>
    <w:p w:rsidR="00DA1C79" w:rsidRPr="00501BF8" w:rsidRDefault="00DA1C79">
      <w:pPr>
        <w:pStyle w:val="BodyText"/>
        <w:spacing w:before="9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spacing w:before="1"/>
        <w:rPr>
          <w:sz w:val="24"/>
          <w:lang w:val="en-IE"/>
        </w:rPr>
      </w:pPr>
      <w:r w:rsidRPr="00501BF8">
        <w:rPr>
          <w:sz w:val="24"/>
          <w:lang w:val="en-IE"/>
        </w:rPr>
        <w:t>Culture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pacing w:val="-5"/>
          <w:sz w:val="24"/>
          <w:lang w:val="en-IE"/>
        </w:rPr>
        <w:t>15)</w:t>
      </w:r>
    </w:p>
    <w:p w:rsidR="00DA1C79" w:rsidRPr="00501BF8" w:rsidRDefault="00DA1C79">
      <w:pPr>
        <w:pStyle w:val="BodyText"/>
        <w:spacing w:before="96"/>
        <w:rPr>
          <w:lang w:val="en-IE"/>
        </w:rPr>
      </w:pPr>
    </w:p>
    <w:p w:rsidR="00DA1C79" w:rsidRPr="00501BF8" w:rsidRDefault="00C72756">
      <w:pPr>
        <w:pStyle w:val="BodyText"/>
        <w:ind w:left="112"/>
        <w:rPr>
          <w:lang w:val="en-IE"/>
        </w:rPr>
      </w:pPr>
      <w:r w:rsidRPr="00501BF8">
        <w:rPr>
          <w:lang w:val="en-IE"/>
        </w:rPr>
        <w:t>Principles</w:t>
      </w:r>
      <w:r w:rsidRPr="00501BF8">
        <w:rPr>
          <w:spacing w:val="-8"/>
          <w:lang w:val="en-IE"/>
        </w:rPr>
        <w:t xml:space="preserve"> </w:t>
      </w:r>
      <w:r w:rsidRPr="00501BF8">
        <w:rPr>
          <w:lang w:val="en-IE"/>
        </w:rPr>
        <w:t>contained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in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Covenant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include</w:t>
      </w:r>
      <w:r w:rsidRPr="00501BF8">
        <w:rPr>
          <w:spacing w:val="1"/>
          <w:lang w:val="en-IE"/>
        </w:rPr>
        <w:t xml:space="preserve"> </w:t>
      </w:r>
      <w:r w:rsidRPr="00501BF8">
        <w:rPr>
          <w:lang w:val="en-IE"/>
        </w:rPr>
        <w:t>obligations</w:t>
      </w:r>
      <w:r w:rsidRPr="00501BF8">
        <w:rPr>
          <w:spacing w:val="-6"/>
          <w:lang w:val="en-IE"/>
        </w:rPr>
        <w:t xml:space="preserve"> </w:t>
      </w:r>
      <w:r w:rsidRPr="00501BF8">
        <w:rPr>
          <w:lang w:val="en-IE"/>
        </w:rPr>
        <w:t>on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Ireland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to</w:t>
      </w:r>
      <w:r w:rsidRPr="00501BF8">
        <w:rPr>
          <w:spacing w:val="-4"/>
          <w:lang w:val="en-IE"/>
        </w:rPr>
        <w:t xml:space="preserve"> </w:t>
      </w:r>
      <w:r w:rsidRPr="00501BF8">
        <w:rPr>
          <w:spacing w:val="-2"/>
          <w:lang w:val="en-IE"/>
        </w:rPr>
        <w:t>ensure:</w:t>
      </w:r>
    </w:p>
    <w:p w:rsidR="00DA1C79" w:rsidRPr="00501BF8" w:rsidRDefault="00DA1C79">
      <w:pPr>
        <w:pStyle w:val="BodyText"/>
        <w:spacing w:before="11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rPr>
          <w:sz w:val="24"/>
          <w:lang w:val="en-IE"/>
        </w:rPr>
      </w:pPr>
      <w:r w:rsidRPr="00501BF8">
        <w:rPr>
          <w:sz w:val="24"/>
          <w:lang w:val="en-IE"/>
        </w:rPr>
        <w:t>Maximum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use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resources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pacing w:val="-5"/>
          <w:sz w:val="24"/>
          <w:lang w:val="en-IE"/>
        </w:rPr>
        <w:t>2)</w:t>
      </w:r>
    </w:p>
    <w:p w:rsidR="00DA1C79" w:rsidRPr="00501BF8" w:rsidRDefault="00DA1C79">
      <w:pPr>
        <w:pStyle w:val="BodyText"/>
        <w:spacing w:before="94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rPr>
          <w:sz w:val="24"/>
          <w:lang w:val="en-IE"/>
        </w:rPr>
      </w:pPr>
      <w:r w:rsidRPr="00501BF8">
        <w:rPr>
          <w:sz w:val="24"/>
          <w:lang w:val="en-IE"/>
        </w:rPr>
        <w:t>Progressive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realisation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rights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pacing w:val="-5"/>
          <w:sz w:val="24"/>
          <w:lang w:val="en-IE"/>
        </w:rPr>
        <w:t>2)</w:t>
      </w:r>
    </w:p>
    <w:p w:rsidR="00DA1C79" w:rsidRPr="00501BF8" w:rsidRDefault="00DA1C79">
      <w:pPr>
        <w:rPr>
          <w:sz w:val="24"/>
          <w:lang w:val="en-IE"/>
        </w:rPr>
        <w:sectPr w:rsidR="00DA1C79" w:rsidRPr="00501BF8">
          <w:footerReference w:type="default" r:id="rId8"/>
          <w:pgSz w:w="11910" w:h="16840"/>
          <w:pgMar w:top="1420" w:right="1020" w:bottom="1100" w:left="1020" w:header="0" w:footer="912" w:gutter="0"/>
          <w:pgNumType w:start="1"/>
          <w:cols w:space="720"/>
        </w:sect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spacing w:before="41"/>
        <w:rPr>
          <w:sz w:val="24"/>
          <w:lang w:val="en-IE"/>
        </w:rPr>
      </w:pPr>
      <w:r w:rsidRPr="00501BF8">
        <w:rPr>
          <w:sz w:val="24"/>
          <w:lang w:val="en-IE"/>
        </w:rPr>
        <w:lastRenderedPageBreak/>
        <w:t>Non-discrimination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5"/>
          <w:sz w:val="24"/>
          <w:lang w:val="en-IE"/>
        </w:rPr>
        <w:t xml:space="preserve"> 2)</w:t>
      </w:r>
    </w:p>
    <w:p w:rsidR="00DA1C79" w:rsidRPr="00501BF8" w:rsidRDefault="00DA1C79">
      <w:pPr>
        <w:pStyle w:val="BodyText"/>
        <w:spacing w:before="9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rPr>
          <w:sz w:val="24"/>
          <w:lang w:val="en-IE"/>
        </w:rPr>
      </w:pPr>
      <w:r w:rsidRPr="00501BF8">
        <w:rPr>
          <w:sz w:val="24"/>
          <w:lang w:val="en-IE"/>
        </w:rPr>
        <w:t>International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cooperation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pacing w:val="-5"/>
          <w:sz w:val="24"/>
          <w:lang w:val="en-IE"/>
        </w:rPr>
        <w:t>2)</w:t>
      </w:r>
    </w:p>
    <w:p w:rsidR="00DA1C79" w:rsidRPr="00501BF8" w:rsidRDefault="00DA1C79">
      <w:pPr>
        <w:pStyle w:val="BodyText"/>
        <w:spacing w:before="94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3"/>
        </w:numPr>
        <w:tabs>
          <w:tab w:val="left" w:pos="833"/>
        </w:tabs>
        <w:rPr>
          <w:sz w:val="24"/>
          <w:lang w:val="en-IE"/>
        </w:rPr>
      </w:pPr>
      <w:r w:rsidRPr="00501BF8">
        <w:rPr>
          <w:sz w:val="24"/>
          <w:lang w:val="en-IE"/>
        </w:rPr>
        <w:t>Equal</w:t>
      </w:r>
      <w:r w:rsidRPr="00501BF8">
        <w:rPr>
          <w:spacing w:val="-7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rights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women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and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men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(Art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pacing w:val="-5"/>
          <w:sz w:val="24"/>
          <w:lang w:val="en-IE"/>
        </w:rPr>
        <w:t>3)</w:t>
      </w:r>
      <w:r w:rsidR="00501BF8">
        <w:rPr>
          <w:spacing w:val="-5"/>
          <w:sz w:val="24"/>
          <w:lang w:val="en-IE"/>
        </w:rPr>
        <w:t xml:space="preserve"> </w:t>
      </w:r>
    </w:p>
    <w:p w:rsidR="00DA1C79" w:rsidRPr="00501BF8" w:rsidRDefault="00DA1C79">
      <w:pPr>
        <w:pStyle w:val="BodyText"/>
        <w:spacing w:before="91"/>
        <w:rPr>
          <w:lang w:val="en-IE"/>
        </w:rPr>
      </w:pPr>
    </w:p>
    <w:p w:rsidR="00DA1C79" w:rsidRPr="00501BF8" w:rsidRDefault="00C72756">
      <w:pPr>
        <w:pStyle w:val="Heading1"/>
        <w:spacing w:before="1"/>
        <w:rPr>
          <w:lang w:val="en-IE"/>
        </w:rPr>
      </w:pPr>
      <w:r w:rsidRPr="00501BF8">
        <w:rPr>
          <w:color w:val="0095A9"/>
          <w:lang w:val="en-IE"/>
        </w:rPr>
        <w:t>Committee</w:t>
      </w:r>
      <w:r w:rsidRPr="00501BF8">
        <w:rPr>
          <w:color w:val="0095A9"/>
          <w:spacing w:val="-4"/>
          <w:lang w:val="en-IE"/>
        </w:rPr>
        <w:t xml:space="preserve"> </w:t>
      </w:r>
      <w:r w:rsidRPr="00501BF8">
        <w:rPr>
          <w:color w:val="0095A9"/>
          <w:lang w:val="en-IE"/>
        </w:rPr>
        <w:t>on</w:t>
      </w:r>
      <w:r w:rsidRPr="00501BF8">
        <w:rPr>
          <w:color w:val="0095A9"/>
          <w:spacing w:val="-2"/>
          <w:lang w:val="en-IE"/>
        </w:rPr>
        <w:t xml:space="preserve"> </w:t>
      </w:r>
      <w:r w:rsidRPr="00501BF8">
        <w:rPr>
          <w:color w:val="0095A9"/>
          <w:lang w:val="en-IE"/>
        </w:rPr>
        <w:t>Economic,</w:t>
      </w:r>
      <w:r w:rsidRPr="00501BF8">
        <w:rPr>
          <w:color w:val="0095A9"/>
          <w:spacing w:val="-2"/>
          <w:lang w:val="en-IE"/>
        </w:rPr>
        <w:t xml:space="preserve"> </w:t>
      </w:r>
      <w:r w:rsidRPr="00501BF8">
        <w:rPr>
          <w:color w:val="0095A9"/>
          <w:lang w:val="en-IE"/>
        </w:rPr>
        <w:t>Social and</w:t>
      </w:r>
      <w:r w:rsidRPr="00501BF8">
        <w:rPr>
          <w:color w:val="0095A9"/>
          <w:spacing w:val="-1"/>
          <w:lang w:val="en-IE"/>
        </w:rPr>
        <w:t xml:space="preserve"> </w:t>
      </w:r>
      <w:r w:rsidRPr="00501BF8">
        <w:rPr>
          <w:color w:val="0095A9"/>
          <w:lang w:val="en-IE"/>
        </w:rPr>
        <w:t>Cultural</w:t>
      </w:r>
      <w:r w:rsidRPr="00501BF8">
        <w:rPr>
          <w:color w:val="0095A9"/>
          <w:spacing w:val="-1"/>
          <w:lang w:val="en-IE"/>
        </w:rPr>
        <w:t xml:space="preserve"> </w:t>
      </w:r>
      <w:r w:rsidRPr="00501BF8">
        <w:rPr>
          <w:color w:val="0095A9"/>
          <w:spacing w:val="-2"/>
          <w:lang w:val="en-IE"/>
        </w:rPr>
        <w:t>Rights</w:t>
      </w:r>
    </w:p>
    <w:p w:rsidR="00DA1C79" w:rsidRPr="00501BF8" w:rsidRDefault="00C72756">
      <w:pPr>
        <w:pStyle w:val="BodyText"/>
        <w:spacing w:before="382" w:line="360" w:lineRule="auto"/>
        <w:ind w:left="112"/>
        <w:rPr>
          <w:lang w:val="en-IE"/>
        </w:rPr>
      </w:pPr>
      <w:r w:rsidRPr="00501BF8">
        <w:rPr>
          <w:lang w:val="en-IE"/>
        </w:rPr>
        <w:t>The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Committee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on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Economic,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Social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and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Cultural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Rights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(CESCR)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is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United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Nations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Treaty</w:t>
      </w:r>
      <w:r w:rsidRPr="00501BF8">
        <w:rPr>
          <w:spacing w:val="-2"/>
          <w:lang w:val="en-IE"/>
        </w:rPr>
        <w:t xml:space="preserve"> </w:t>
      </w:r>
      <w:proofErr w:type="gramStart"/>
      <w:r w:rsidRPr="00501BF8">
        <w:rPr>
          <w:lang w:val="en-IE"/>
        </w:rPr>
        <w:t>Body which</w:t>
      </w:r>
      <w:proofErr w:type="gramEnd"/>
      <w:r w:rsidRPr="00501BF8">
        <w:rPr>
          <w:lang w:val="en-IE"/>
        </w:rPr>
        <w:t xml:space="preserve"> monitors the implementation of ICESCR. The Committee includes 18 international experts who </w:t>
      </w:r>
      <w:proofErr w:type="gramStart"/>
      <w:r w:rsidRPr="00501BF8">
        <w:rPr>
          <w:lang w:val="en-IE"/>
        </w:rPr>
        <w:t>are elected</w:t>
      </w:r>
      <w:proofErr w:type="gramEnd"/>
      <w:r w:rsidRPr="00501BF8">
        <w:rPr>
          <w:lang w:val="en-IE"/>
        </w:rPr>
        <w:t xml:space="preserve"> for a term of four years. States are required to submit regular reports to the Committee on measures adopted and progress made in protecting Covenant rights.</w:t>
      </w:r>
    </w:p>
    <w:p w:rsidR="00DA1C79" w:rsidRPr="00501BF8" w:rsidRDefault="00C72756">
      <w:pPr>
        <w:pStyle w:val="BodyText"/>
        <w:spacing w:before="161" w:line="360" w:lineRule="auto"/>
        <w:ind w:left="112" w:right="175"/>
        <w:rPr>
          <w:lang w:val="en-IE"/>
        </w:rPr>
      </w:pPr>
      <w:r w:rsidRPr="00501BF8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484928" behindDoc="1" locked="0" layoutInCell="1" allowOverlap="1">
                <wp:simplePos x="0" y="0"/>
                <wp:positionH relativeFrom="page">
                  <wp:posOffset>2981579</wp:posOffset>
                </wp:positionH>
                <wp:positionV relativeFrom="paragraph">
                  <wp:posOffset>1100786</wp:posOffset>
                </wp:positionV>
                <wp:extent cx="35560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5051" y="10667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CCB17" id="Graphic 3" o:spid="_x0000_s1026" style="position:absolute;margin-left:234.75pt;margin-top:86.7pt;width:2.8pt;height:.8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" path="m35051,l,,,10667r35051,l35051,xe" fillcolor="black" stroked="f">
                <v:path arrowok="t"/>
                <w10:wrap anchorx="page"/>
              </v:shape>
            </w:pict>
          </mc:Fallback>
        </mc:AlternateContent>
      </w:r>
      <w:r w:rsidRPr="00501BF8">
        <w:rPr>
          <w:lang w:val="en-IE"/>
        </w:rPr>
        <w:t>Under the Optional Protocol to the International Covenant on Economic, Social and Cultural Rights,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Committee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receives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and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considers communications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from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individuals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who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believe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 xml:space="preserve">their rights under the Covenant </w:t>
      </w:r>
      <w:proofErr w:type="gramStart"/>
      <w:r w:rsidRPr="00501BF8">
        <w:rPr>
          <w:lang w:val="en-IE"/>
        </w:rPr>
        <w:t>have been violated</w:t>
      </w:r>
      <w:proofErr w:type="gramEnd"/>
      <w:r w:rsidRPr="00501BF8">
        <w:rPr>
          <w:lang w:val="en-IE"/>
        </w:rPr>
        <w:t>. Ireland has not ratified the Optional Protocol, meaning that the Committee cannot currently hear individual complaints against Ireland.</w:t>
      </w:r>
    </w:p>
    <w:p w:rsidR="00DA1C79" w:rsidRPr="00501BF8" w:rsidRDefault="00C72756">
      <w:pPr>
        <w:pStyle w:val="BodyText"/>
        <w:spacing w:before="159" w:line="360" w:lineRule="auto"/>
        <w:ind w:left="112" w:right="353"/>
        <w:rPr>
          <w:lang w:val="en-IE"/>
        </w:rPr>
      </w:pPr>
      <w:r w:rsidRPr="00501BF8">
        <w:rPr>
          <w:lang w:val="en-IE"/>
        </w:rPr>
        <w:t>Other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duties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carried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out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by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Committee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include inquiries,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considering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inter-state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complaints, and publishing general comments.</w:t>
      </w:r>
    </w:p>
    <w:p w:rsidR="00DA1C79" w:rsidRPr="00501BF8" w:rsidRDefault="00C72756">
      <w:pPr>
        <w:pStyle w:val="Heading1"/>
        <w:spacing w:before="162" w:line="357" w:lineRule="auto"/>
        <w:rPr>
          <w:lang w:val="en-IE"/>
        </w:rPr>
      </w:pPr>
      <w:r w:rsidRPr="00501BF8">
        <w:rPr>
          <w:color w:val="0095A9"/>
          <w:lang w:val="en-IE"/>
        </w:rPr>
        <w:t>Why</w:t>
      </w:r>
      <w:r w:rsidRPr="00501BF8">
        <w:rPr>
          <w:color w:val="0095A9"/>
          <w:spacing w:val="-4"/>
          <w:lang w:val="en-IE"/>
        </w:rPr>
        <w:t xml:space="preserve"> </w:t>
      </w:r>
      <w:r w:rsidRPr="00501BF8">
        <w:rPr>
          <w:color w:val="0095A9"/>
          <w:lang w:val="en-IE"/>
        </w:rPr>
        <w:t>report</w:t>
      </w:r>
      <w:r w:rsidRPr="00501BF8">
        <w:rPr>
          <w:color w:val="0095A9"/>
          <w:spacing w:val="-6"/>
          <w:lang w:val="en-IE"/>
        </w:rPr>
        <w:t xml:space="preserve"> </w:t>
      </w:r>
      <w:r w:rsidRPr="00501BF8">
        <w:rPr>
          <w:color w:val="0095A9"/>
          <w:lang w:val="en-IE"/>
        </w:rPr>
        <w:t>to</w:t>
      </w:r>
      <w:r w:rsidRPr="00501BF8">
        <w:rPr>
          <w:color w:val="0095A9"/>
          <w:spacing w:val="-5"/>
          <w:lang w:val="en-IE"/>
        </w:rPr>
        <w:t xml:space="preserve"> </w:t>
      </w:r>
      <w:r w:rsidRPr="00501BF8">
        <w:rPr>
          <w:color w:val="0095A9"/>
          <w:lang w:val="en-IE"/>
        </w:rPr>
        <w:t>the</w:t>
      </w:r>
      <w:r w:rsidRPr="00501BF8">
        <w:rPr>
          <w:color w:val="0095A9"/>
          <w:spacing w:val="-3"/>
          <w:lang w:val="en-IE"/>
        </w:rPr>
        <w:t xml:space="preserve"> </w:t>
      </w:r>
      <w:r w:rsidRPr="00501BF8">
        <w:rPr>
          <w:color w:val="0095A9"/>
          <w:lang w:val="en-IE"/>
        </w:rPr>
        <w:t>Committee</w:t>
      </w:r>
      <w:r w:rsidRPr="00501BF8">
        <w:rPr>
          <w:color w:val="0095A9"/>
          <w:spacing w:val="-3"/>
          <w:lang w:val="en-IE"/>
        </w:rPr>
        <w:t xml:space="preserve"> </w:t>
      </w:r>
      <w:r w:rsidRPr="00501BF8">
        <w:rPr>
          <w:color w:val="0095A9"/>
          <w:lang w:val="en-IE"/>
        </w:rPr>
        <w:t>on</w:t>
      </w:r>
      <w:r w:rsidRPr="00501BF8">
        <w:rPr>
          <w:color w:val="0095A9"/>
          <w:spacing w:val="-5"/>
          <w:lang w:val="en-IE"/>
        </w:rPr>
        <w:t xml:space="preserve"> </w:t>
      </w:r>
      <w:r w:rsidRPr="00501BF8">
        <w:rPr>
          <w:color w:val="0095A9"/>
          <w:lang w:val="en-IE"/>
        </w:rPr>
        <w:t>Economic,</w:t>
      </w:r>
      <w:r w:rsidRPr="00501BF8">
        <w:rPr>
          <w:color w:val="0095A9"/>
          <w:spacing w:val="-5"/>
          <w:lang w:val="en-IE"/>
        </w:rPr>
        <w:t xml:space="preserve"> </w:t>
      </w:r>
      <w:r w:rsidRPr="00501BF8">
        <w:rPr>
          <w:color w:val="0095A9"/>
          <w:lang w:val="en-IE"/>
        </w:rPr>
        <w:t>Social</w:t>
      </w:r>
      <w:r w:rsidRPr="00501BF8">
        <w:rPr>
          <w:color w:val="0095A9"/>
          <w:spacing w:val="-4"/>
          <w:lang w:val="en-IE"/>
        </w:rPr>
        <w:t xml:space="preserve"> </w:t>
      </w:r>
      <w:r w:rsidRPr="00501BF8">
        <w:rPr>
          <w:color w:val="0095A9"/>
          <w:lang w:val="en-IE"/>
        </w:rPr>
        <w:t>and</w:t>
      </w:r>
      <w:r w:rsidRPr="00501BF8">
        <w:rPr>
          <w:color w:val="0095A9"/>
          <w:spacing w:val="-4"/>
          <w:lang w:val="en-IE"/>
        </w:rPr>
        <w:t xml:space="preserve"> </w:t>
      </w:r>
      <w:r w:rsidRPr="00501BF8">
        <w:rPr>
          <w:color w:val="0095A9"/>
          <w:lang w:val="en-IE"/>
        </w:rPr>
        <w:t xml:space="preserve">Cultural </w:t>
      </w:r>
      <w:r w:rsidRPr="00501BF8">
        <w:rPr>
          <w:color w:val="0095A9"/>
          <w:spacing w:val="-2"/>
          <w:lang w:val="en-IE"/>
        </w:rPr>
        <w:t>Rights?</w:t>
      </w:r>
    </w:p>
    <w:p w:rsidR="00DA1C79" w:rsidRPr="00501BF8" w:rsidRDefault="00C72756">
      <w:pPr>
        <w:pStyle w:val="BodyText"/>
        <w:spacing w:before="168" w:line="360" w:lineRule="auto"/>
        <w:ind w:left="112" w:right="136"/>
        <w:rPr>
          <w:lang w:val="en-IE"/>
        </w:rPr>
      </w:pPr>
      <w:r w:rsidRPr="00501BF8">
        <w:rPr>
          <w:lang w:val="en-IE"/>
        </w:rPr>
        <w:t>Civil society reporting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to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CESCR is a valuable way to achieve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 xml:space="preserve">national and international impact. By highlighting rights infringements experienced by under-represented groups, civil society reports provide the Committee with a more complete picture of socio-economic rights in Ireland. This plays an important role in holding the State to account. Civil society reporting </w:t>
      </w:r>
      <w:proofErr w:type="gramStart"/>
      <w:r w:rsidRPr="00501BF8">
        <w:rPr>
          <w:lang w:val="en-IE"/>
        </w:rPr>
        <w:t>has been demonstrated</w:t>
      </w:r>
      <w:proofErr w:type="gramEnd"/>
      <w:r w:rsidRPr="00501BF8">
        <w:rPr>
          <w:lang w:val="en-IE"/>
        </w:rPr>
        <w:t xml:space="preserve"> to have a direct influence on the Concluding Observations of UN Committees. As Concluding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Observations</w:t>
      </w:r>
      <w:r w:rsidRPr="00501BF8">
        <w:rPr>
          <w:spacing w:val="-4"/>
          <w:lang w:val="en-IE"/>
        </w:rPr>
        <w:t xml:space="preserve"> </w:t>
      </w:r>
      <w:proofErr w:type="gramStart"/>
      <w:r w:rsidRPr="00501BF8">
        <w:rPr>
          <w:lang w:val="en-IE"/>
        </w:rPr>
        <w:t>are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given</w:t>
      </w:r>
      <w:proofErr w:type="gramEnd"/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significant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weight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by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States,</w:t>
      </w:r>
      <w:r w:rsidRPr="00501BF8">
        <w:rPr>
          <w:spacing w:val="-6"/>
          <w:lang w:val="en-IE"/>
        </w:rPr>
        <w:t xml:space="preserve"> </w:t>
      </w:r>
      <w:r w:rsidRPr="00501BF8">
        <w:rPr>
          <w:lang w:val="en-IE"/>
        </w:rPr>
        <w:t>engagement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with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UN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Committees can advance ongoing policy and advocacy work, and create the pressure and support needed to progress issues at the national level.</w:t>
      </w:r>
    </w:p>
    <w:p w:rsidR="00DA1C79" w:rsidRPr="00501BF8" w:rsidRDefault="00C72756">
      <w:pPr>
        <w:pStyle w:val="BodyText"/>
        <w:spacing w:before="159" w:line="360" w:lineRule="auto"/>
        <w:ind w:left="112" w:right="353"/>
        <w:rPr>
          <w:lang w:val="en-IE"/>
        </w:rPr>
      </w:pPr>
      <w:r w:rsidRPr="00501BF8">
        <w:rPr>
          <w:lang w:val="en-IE"/>
        </w:rPr>
        <w:t>While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civil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society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engagement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requires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planning</w:t>
      </w:r>
      <w:r w:rsidRPr="00501BF8">
        <w:rPr>
          <w:spacing w:val="-6"/>
          <w:lang w:val="en-IE"/>
        </w:rPr>
        <w:t xml:space="preserve"> </w:t>
      </w:r>
      <w:r w:rsidRPr="00501BF8">
        <w:rPr>
          <w:lang w:val="en-IE"/>
        </w:rPr>
        <w:t>and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use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of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limited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resources,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organisations can use,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build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on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and adapt existing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research, policy and advocacy work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for the CESCR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reporting</w:t>
      </w:r>
    </w:p>
    <w:p w:rsidR="00DA1C79" w:rsidRPr="00501BF8" w:rsidRDefault="00DA1C79">
      <w:pPr>
        <w:spacing w:line="360" w:lineRule="auto"/>
        <w:rPr>
          <w:lang w:val="en-IE"/>
        </w:rPr>
        <w:sectPr w:rsidR="00DA1C79" w:rsidRPr="00501BF8">
          <w:pgSz w:w="11910" w:h="16840"/>
          <w:pgMar w:top="1380" w:right="1020" w:bottom="1100" w:left="1020" w:header="0" w:footer="912" w:gutter="0"/>
          <w:cols w:space="720"/>
        </w:sectPr>
      </w:pPr>
    </w:p>
    <w:p w:rsidR="00DA1C79" w:rsidRPr="00501BF8" w:rsidRDefault="00C72756">
      <w:pPr>
        <w:pStyle w:val="BodyText"/>
        <w:spacing w:before="41" w:line="360" w:lineRule="auto"/>
        <w:ind w:left="112" w:right="186"/>
        <w:rPr>
          <w:lang w:val="en-IE"/>
        </w:rPr>
      </w:pPr>
      <w:proofErr w:type="gramStart"/>
      <w:r w:rsidRPr="00501BF8">
        <w:rPr>
          <w:lang w:val="en-IE"/>
        </w:rPr>
        <w:lastRenderedPageBreak/>
        <w:t>process</w:t>
      </w:r>
      <w:proofErr w:type="gramEnd"/>
      <w:r w:rsidRPr="00501BF8">
        <w:rPr>
          <w:lang w:val="en-IE"/>
        </w:rPr>
        <w:t xml:space="preserve">. Reporting </w:t>
      </w:r>
      <w:proofErr w:type="gramStart"/>
      <w:r w:rsidRPr="00501BF8">
        <w:rPr>
          <w:lang w:val="en-IE"/>
        </w:rPr>
        <w:t>can therefore be integrated</w:t>
      </w:r>
      <w:proofErr w:type="gramEnd"/>
      <w:r w:rsidRPr="00501BF8">
        <w:rPr>
          <w:lang w:val="en-IE"/>
        </w:rPr>
        <w:t xml:space="preserve"> into a broader strategy and work-plan to reduce the additional capacity required, while also enabling organisations to promote their work internationally. Effective engagement with </w:t>
      </w:r>
      <w:proofErr w:type="gramStart"/>
      <w:r w:rsidRPr="00501BF8">
        <w:rPr>
          <w:lang w:val="en-IE"/>
        </w:rPr>
        <w:t>CESCR’s</w:t>
      </w:r>
      <w:proofErr w:type="gramEnd"/>
      <w:r w:rsidRPr="00501BF8">
        <w:rPr>
          <w:lang w:val="en-IE"/>
        </w:rPr>
        <w:t xml:space="preserve"> reporting process provides an important opportunity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to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harness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power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of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international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human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rights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system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to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reinforce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advocacy messages and affect change for the advancement of socio-economic rights.</w:t>
      </w:r>
    </w:p>
    <w:p w:rsidR="00DA1C79" w:rsidRPr="00501BF8" w:rsidRDefault="00C72756">
      <w:pPr>
        <w:pStyle w:val="Heading1"/>
        <w:spacing w:before="158"/>
        <w:rPr>
          <w:lang w:val="en-IE"/>
        </w:rPr>
      </w:pPr>
      <w:r w:rsidRPr="00501BF8">
        <w:rPr>
          <w:color w:val="0095A9"/>
          <w:lang w:val="en-IE"/>
        </w:rPr>
        <w:t>International</w:t>
      </w:r>
      <w:r w:rsidRPr="00501BF8">
        <w:rPr>
          <w:color w:val="0095A9"/>
          <w:spacing w:val="-4"/>
          <w:lang w:val="en-IE"/>
        </w:rPr>
        <w:t xml:space="preserve"> </w:t>
      </w:r>
      <w:r w:rsidRPr="00501BF8">
        <w:rPr>
          <w:color w:val="0095A9"/>
          <w:lang w:val="en-IE"/>
        </w:rPr>
        <w:t>reporting</w:t>
      </w:r>
      <w:r w:rsidRPr="00501BF8">
        <w:rPr>
          <w:color w:val="0095A9"/>
          <w:spacing w:val="-2"/>
          <w:lang w:val="en-IE"/>
        </w:rPr>
        <w:t xml:space="preserve"> procedure</w:t>
      </w:r>
    </w:p>
    <w:p w:rsidR="00DA1C79" w:rsidRPr="00501BF8" w:rsidRDefault="00C72756">
      <w:pPr>
        <w:pStyle w:val="BodyText"/>
        <w:spacing w:before="383" w:line="360" w:lineRule="auto"/>
        <w:ind w:left="112" w:right="136"/>
        <w:rPr>
          <w:lang w:val="en-IE"/>
        </w:rPr>
      </w:pPr>
      <w:r w:rsidRPr="00501BF8">
        <w:rPr>
          <w:lang w:val="en-IE"/>
        </w:rPr>
        <w:t>Although a number of UN Treaty Bodies have adopted the simplified reporting procedure to streamline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process,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CESCR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has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only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adopted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this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procedure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on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a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pilot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basis.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 xml:space="preserve">Committee therefore uses the </w:t>
      </w:r>
      <w:r w:rsidRPr="00501BF8">
        <w:rPr>
          <w:b/>
          <w:lang w:val="en-IE"/>
        </w:rPr>
        <w:t>standard reporting procedure</w:t>
      </w:r>
      <w:r w:rsidRPr="00501BF8">
        <w:rPr>
          <w:lang w:val="en-IE"/>
        </w:rPr>
        <w:t>.</w:t>
      </w:r>
    </w:p>
    <w:p w:rsidR="00DA1C79" w:rsidRPr="00501BF8" w:rsidRDefault="00C72756">
      <w:pPr>
        <w:pStyle w:val="BodyText"/>
        <w:spacing w:before="161"/>
        <w:ind w:left="112"/>
        <w:rPr>
          <w:lang w:val="en-IE"/>
        </w:rPr>
      </w:pPr>
      <w:r w:rsidRPr="00501BF8">
        <w:rPr>
          <w:lang w:val="en-IE"/>
        </w:rPr>
        <w:t>This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consists</w:t>
      </w:r>
      <w:r w:rsidRPr="00501BF8">
        <w:rPr>
          <w:spacing w:val="-2"/>
          <w:lang w:val="en-IE"/>
        </w:rPr>
        <w:t xml:space="preserve"> </w:t>
      </w:r>
      <w:r w:rsidRPr="00501BF8">
        <w:rPr>
          <w:spacing w:val="-5"/>
          <w:lang w:val="en-IE"/>
        </w:rPr>
        <w:t>of:</w:t>
      </w:r>
    </w:p>
    <w:p w:rsidR="00DA1C79" w:rsidRPr="00501BF8" w:rsidRDefault="00DA1C79">
      <w:pPr>
        <w:pStyle w:val="BodyText"/>
        <w:spacing w:before="11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2"/>
        </w:numPr>
        <w:tabs>
          <w:tab w:val="left" w:pos="833"/>
        </w:tabs>
        <w:spacing w:line="360" w:lineRule="auto"/>
        <w:ind w:right="402"/>
        <w:jc w:val="both"/>
        <w:rPr>
          <w:sz w:val="24"/>
          <w:lang w:val="en-IE"/>
        </w:rPr>
      </w:pPr>
      <w:r w:rsidRPr="00501BF8">
        <w:rPr>
          <w:sz w:val="24"/>
          <w:lang w:val="en-IE"/>
        </w:rPr>
        <w:t>Submission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State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report,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which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outlines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measures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taken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to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implement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ICESCR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and how effective these measures have been.</w:t>
      </w:r>
    </w:p>
    <w:p w:rsidR="00DA1C79" w:rsidRPr="00501BF8" w:rsidRDefault="00C72756">
      <w:pPr>
        <w:pStyle w:val="ListParagraph"/>
        <w:numPr>
          <w:ilvl w:val="0"/>
          <w:numId w:val="2"/>
        </w:numPr>
        <w:tabs>
          <w:tab w:val="left" w:pos="833"/>
        </w:tabs>
        <w:spacing w:before="240" w:line="360" w:lineRule="auto"/>
        <w:ind w:right="496"/>
        <w:jc w:val="both"/>
        <w:rPr>
          <w:sz w:val="24"/>
          <w:lang w:val="en-IE"/>
        </w:rPr>
      </w:pPr>
      <w:r w:rsidRPr="00501BF8">
        <w:rPr>
          <w:sz w:val="24"/>
          <w:lang w:val="en-IE"/>
        </w:rPr>
        <w:t>Civil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society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and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National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Human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Rights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Institutions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send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materials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to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Committee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in advance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Committee’s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List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Issues.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Submissions</w:t>
      </w:r>
      <w:r w:rsidRPr="00501BF8">
        <w:rPr>
          <w:spacing w:val="-3"/>
          <w:sz w:val="24"/>
          <w:lang w:val="en-IE"/>
        </w:rPr>
        <w:t xml:space="preserve"> </w:t>
      </w:r>
      <w:proofErr w:type="gramStart"/>
      <w:r w:rsidRPr="00501BF8">
        <w:rPr>
          <w:sz w:val="24"/>
          <w:lang w:val="en-IE"/>
        </w:rPr>
        <w:t>may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be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published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online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or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 xml:space="preserve">kept </w:t>
      </w:r>
      <w:r w:rsidRPr="00501BF8">
        <w:rPr>
          <w:spacing w:val="-2"/>
          <w:sz w:val="24"/>
          <w:lang w:val="en-IE"/>
        </w:rPr>
        <w:t>confidential</w:t>
      </w:r>
      <w:proofErr w:type="gramEnd"/>
      <w:r w:rsidRPr="00501BF8">
        <w:rPr>
          <w:spacing w:val="-2"/>
          <w:sz w:val="24"/>
          <w:lang w:val="en-IE"/>
        </w:rPr>
        <w:t>.</w:t>
      </w:r>
    </w:p>
    <w:p w:rsidR="00DA1C79" w:rsidRPr="00501BF8" w:rsidRDefault="00C72756">
      <w:pPr>
        <w:pStyle w:val="ListParagraph"/>
        <w:numPr>
          <w:ilvl w:val="0"/>
          <w:numId w:val="2"/>
        </w:numPr>
        <w:tabs>
          <w:tab w:val="left" w:pos="833"/>
        </w:tabs>
        <w:spacing w:before="242" w:line="360" w:lineRule="auto"/>
        <w:ind w:right="392"/>
        <w:rPr>
          <w:sz w:val="24"/>
          <w:lang w:val="en-IE"/>
        </w:rPr>
      </w:pPr>
      <w:r w:rsidRPr="00501BF8">
        <w:rPr>
          <w:sz w:val="24"/>
          <w:lang w:val="en-IE"/>
        </w:rPr>
        <w:t xml:space="preserve">The </w:t>
      </w:r>
      <w:proofErr w:type="gramStart"/>
      <w:r w:rsidRPr="00501BF8">
        <w:rPr>
          <w:sz w:val="24"/>
          <w:lang w:val="en-IE"/>
        </w:rPr>
        <w:t>State report and any stakeholder inputs are considered by the Committee</w:t>
      </w:r>
      <w:proofErr w:type="gramEnd"/>
      <w:r w:rsidRPr="00501BF8">
        <w:rPr>
          <w:sz w:val="24"/>
          <w:lang w:val="en-IE"/>
        </w:rPr>
        <w:t xml:space="preserve"> during a Pre-Sessional Working Group (PSWG). During the PSWG, the Committee adopts a List of Issues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for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State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under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review,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which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sets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out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main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areas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concern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in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relation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to the implementation of ICESCR. It publishes the List of Issues and sends it to the State in question, requesting further information.</w:t>
      </w:r>
    </w:p>
    <w:p w:rsidR="00DA1C79" w:rsidRPr="00501BF8" w:rsidRDefault="00C72756">
      <w:pPr>
        <w:pStyle w:val="ListParagraph"/>
        <w:numPr>
          <w:ilvl w:val="0"/>
          <w:numId w:val="2"/>
        </w:numPr>
        <w:tabs>
          <w:tab w:val="left" w:pos="833"/>
        </w:tabs>
        <w:spacing w:before="239" w:line="360" w:lineRule="auto"/>
        <w:ind w:right="198"/>
        <w:rPr>
          <w:sz w:val="24"/>
          <w:lang w:val="en-IE"/>
        </w:rPr>
      </w:pPr>
      <w:r w:rsidRPr="00501BF8">
        <w:rPr>
          <w:sz w:val="24"/>
          <w:lang w:val="en-IE"/>
        </w:rPr>
        <w:t>The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State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responds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to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List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Issues,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addressing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areas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concern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highlighted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by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 xml:space="preserve">the </w:t>
      </w:r>
      <w:r w:rsidRPr="00501BF8">
        <w:rPr>
          <w:spacing w:val="-2"/>
          <w:sz w:val="24"/>
          <w:lang w:val="en-IE"/>
        </w:rPr>
        <w:t>Committee.</w:t>
      </w:r>
    </w:p>
    <w:p w:rsidR="00DA1C79" w:rsidRPr="00501BF8" w:rsidRDefault="00C72756">
      <w:pPr>
        <w:pStyle w:val="ListParagraph"/>
        <w:numPr>
          <w:ilvl w:val="0"/>
          <w:numId w:val="2"/>
        </w:numPr>
        <w:tabs>
          <w:tab w:val="left" w:pos="833"/>
        </w:tabs>
        <w:spacing w:before="242" w:line="360" w:lineRule="auto"/>
        <w:ind w:right="162"/>
        <w:rPr>
          <w:sz w:val="24"/>
          <w:lang w:val="en-IE"/>
        </w:rPr>
      </w:pPr>
      <w:r w:rsidRPr="00501BF8">
        <w:rPr>
          <w:sz w:val="24"/>
          <w:lang w:val="en-IE"/>
        </w:rPr>
        <w:t>Civil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society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and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National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Human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Rights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Institutions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send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parallel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reports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to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Committee (see guidelines below).</w:t>
      </w:r>
    </w:p>
    <w:p w:rsidR="00DA1C79" w:rsidRPr="00501BF8" w:rsidRDefault="00C72756">
      <w:pPr>
        <w:pStyle w:val="ListParagraph"/>
        <w:numPr>
          <w:ilvl w:val="0"/>
          <w:numId w:val="2"/>
        </w:numPr>
        <w:tabs>
          <w:tab w:val="left" w:pos="833"/>
        </w:tabs>
        <w:spacing w:before="240" w:line="360" w:lineRule="auto"/>
        <w:ind w:right="217"/>
        <w:jc w:val="both"/>
        <w:rPr>
          <w:sz w:val="24"/>
          <w:lang w:val="en-IE"/>
        </w:rPr>
      </w:pPr>
      <w:r w:rsidRPr="00501BF8">
        <w:rPr>
          <w:sz w:val="24"/>
          <w:lang w:val="en-IE"/>
        </w:rPr>
        <w:t>The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State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review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takes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place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in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Geneva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during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one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2"/>
          <w:sz w:val="24"/>
          <w:lang w:val="en-IE"/>
        </w:rPr>
        <w:t xml:space="preserve"> </w:t>
      </w:r>
      <w:proofErr w:type="gramStart"/>
      <w:r w:rsidRPr="00501BF8">
        <w:rPr>
          <w:sz w:val="24"/>
          <w:lang w:val="en-IE"/>
        </w:rPr>
        <w:t>Committee’s</w:t>
      </w:r>
      <w:proofErr w:type="gramEnd"/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scheduled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sessions. The review will consist of a dialogue</w:t>
      </w:r>
      <w:r w:rsidRPr="00501BF8">
        <w:rPr>
          <w:spacing w:val="-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between the Committee and the State, usually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taking place over three meetings (of three hours each).</w:t>
      </w:r>
    </w:p>
    <w:p w:rsidR="00DA1C79" w:rsidRPr="00501BF8" w:rsidRDefault="00DA1C79">
      <w:pPr>
        <w:spacing w:line="360" w:lineRule="auto"/>
        <w:jc w:val="both"/>
        <w:rPr>
          <w:sz w:val="24"/>
          <w:lang w:val="en-IE"/>
        </w:rPr>
        <w:sectPr w:rsidR="00DA1C79" w:rsidRPr="00501BF8">
          <w:pgSz w:w="11910" w:h="16840"/>
          <w:pgMar w:top="1380" w:right="1020" w:bottom="1100" w:left="1020" w:header="0" w:footer="912" w:gutter="0"/>
          <w:cols w:space="720"/>
        </w:sectPr>
      </w:pPr>
    </w:p>
    <w:p w:rsidR="00DA1C79" w:rsidRPr="00501BF8" w:rsidRDefault="00C72756">
      <w:pPr>
        <w:pStyle w:val="ListParagraph"/>
        <w:numPr>
          <w:ilvl w:val="0"/>
          <w:numId w:val="2"/>
        </w:numPr>
        <w:tabs>
          <w:tab w:val="left" w:pos="833"/>
        </w:tabs>
        <w:spacing w:before="41" w:line="360" w:lineRule="auto"/>
        <w:ind w:right="415"/>
        <w:rPr>
          <w:sz w:val="24"/>
          <w:lang w:val="en-IE"/>
        </w:rPr>
      </w:pPr>
      <w:r w:rsidRPr="00501BF8">
        <w:rPr>
          <w:sz w:val="24"/>
          <w:lang w:val="en-IE"/>
        </w:rPr>
        <w:lastRenderedPageBreak/>
        <w:t>Following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State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review, the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Committee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will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prepare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Concluding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Observations,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noting positive developments, areas of concern, suggestions and recommendations.</w:t>
      </w:r>
    </w:p>
    <w:p w:rsidR="00DA1C79" w:rsidRPr="00501BF8" w:rsidRDefault="00C72756">
      <w:pPr>
        <w:pStyle w:val="Heading1"/>
        <w:spacing w:before="238"/>
        <w:rPr>
          <w:lang w:val="en-IE"/>
        </w:rPr>
      </w:pPr>
      <w:r w:rsidRPr="00501BF8">
        <w:rPr>
          <w:color w:val="0095A9"/>
          <w:lang w:val="en-IE"/>
        </w:rPr>
        <w:t>Ireland’s</w:t>
      </w:r>
      <w:r w:rsidRPr="00501BF8">
        <w:rPr>
          <w:color w:val="0095A9"/>
          <w:spacing w:val="-5"/>
          <w:lang w:val="en-IE"/>
        </w:rPr>
        <w:t xml:space="preserve"> </w:t>
      </w:r>
      <w:r w:rsidRPr="00501BF8">
        <w:rPr>
          <w:color w:val="0095A9"/>
          <w:lang w:val="en-IE"/>
        </w:rPr>
        <w:t>fourth</w:t>
      </w:r>
      <w:r w:rsidRPr="00501BF8">
        <w:rPr>
          <w:color w:val="0095A9"/>
          <w:spacing w:val="-3"/>
          <w:lang w:val="en-IE"/>
        </w:rPr>
        <w:t xml:space="preserve"> </w:t>
      </w:r>
      <w:r w:rsidRPr="00501BF8">
        <w:rPr>
          <w:color w:val="0095A9"/>
          <w:lang w:val="en-IE"/>
        </w:rPr>
        <w:t>periodic</w:t>
      </w:r>
      <w:r w:rsidRPr="00501BF8">
        <w:rPr>
          <w:color w:val="0095A9"/>
          <w:spacing w:val="-5"/>
          <w:lang w:val="en-IE"/>
        </w:rPr>
        <w:t xml:space="preserve"> </w:t>
      </w:r>
      <w:r w:rsidRPr="00501BF8">
        <w:rPr>
          <w:color w:val="0095A9"/>
          <w:lang w:val="en-IE"/>
        </w:rPr>
        <w:t>review</w:t>
      </w:r>
      <w:r w:rsidRPr="00501BF8">
        <w:rPr>
          <w:color w:val="0095A9"/>
          <w:spacing w:val="-1"/>
          <w:lang w:val="en-IE"/>
        </w:rPr>
        <w:t xml:space="preserve"> </w:t>
      </w:r>
      <w:r w:rsidRPr="00501BF8">
        <w:rPr>
          <w:color w:val="0095A9"/>
          <w:lang w:val="en-IE"/>
        </w:rPr>
        <w:t>under</w:t>
      </w:r>
      <w:r w:rsidRPr="00501BF8">
        <w:rPr>
          <w:color w:val="0095A9"/>
          <w:spacing w:val="-3"/>
          <w:lang w:val="en-IE"/>
        </w:rPr>
        <w:t xml:space="preserve"> </w:t>
      </w:r>
      <w:r w:rsidRPr="00501BF8">
        <w:rPr>
          <w:color w:val="0095A9"/>
          <w:spacing w:val="-2"/>
          <w:lang w:val="en-IE"/>
        </w:rPr>
        <w:t>ICESCR</w:t>
      </w:r>
    </w:p>
    <w:p w:rsidR="00DA1C79" w:rsidRPr="00501BF8" w:rsidRDefault="00C72756">
      <w:pPr>
        <w:pStyle w:val="BodyText"/>
        <w:spacing w:before="383" w:line="360" w:lineRule="auto"/>
        <w:ind w:left="112" w:right="186"/>
        <w:rPr>
          <w:lang w:val="en-IE"/>
        </w:rPr>
      </w:pPr>
      <w:r w:rsidRPr="00501BF8">
        <w:rPr>
          <w:lang w:val="en-IE"/>
        </w:rPr>
        <w:t>Ireland’s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fourth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periodic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review began in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February 2021,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when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Ireland submitted its State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report to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Committee.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CESCR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considered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report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during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its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Pre-Sessional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Working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Group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in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March 2022, and adopted its List of Issues at that meeting. Prior to the meeting, CESCR received submissions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from Atheist Ireland,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Disability Federation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of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Ireland,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Inclusion Ireland,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 xml:space="preserve">Independent Living Movement Ireland, Irish Penal Reform Trust, a coalition of Irish Traveller and Roma organisations, Irish Council for Civil Liberties, and the World Policy Analysis </w:t>
      </w:r>
      <w:proofErr w:type="spellStart"/>
      <w:r w:rsidRPr="00501BF8">
        <w:rPr>
          <w:lang w:val="en-IE"/>
        </w:rPr>
        <w:t>Center</w:t>
      </w:r>
      <w:proofErr w:type="spellEnd"/>
      <w:r w:rsidRPr="00501BF8">
        <w:rPr>
          <w:lang w:val="en-IE"/>
        </w:rPr>
        <w:t>. IHREC also made a submission to inform CESCR’s List of Issues in December 2021.</w:t>
      </w:r>
    </w:p>
    <w:p w:rsidR="00DA1C79" w:rsidRPr="00501BF8" w:rsidRDefault="00C72756">
      <w:pPr>
        <w:pStyle w:val="BodyText"/>
        <w:spacing w:before="160" w:line="360" w:lineRule="auto"/>
        <w:ind w:left="112" w:right="203"/>
        <w:rPr>
          <w:lang w:val="en-IE"/>
        </w:rPr>
      </w:pPr>
      <w:r w:rsidRPr="00501BF8">
        <w:rPr>
          <w:lang w:val="en-IE"/>
        </w:rPr>
        <w:t>The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State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submit</w:t>
      </w:r>
      <w:r w:rsidR="00501BF8">
        <w:rPr>
          <w:lang w:val="en-IE"/>
        </w:rPr>
        <w:t>ted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its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Reply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to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List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of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Issues</w:t>
      </w:r>
      <w:r w:rsidR="00501BF8">
        <w:rPr>
          <w:lang w:val="en-IE"/>
        </w:rPr>
        <w:t xml:space="preserve"> in </w:t>
      </w:r>
      <w:r w:rsidR="00501BF8">
        <w:rPr>
          <w:b/>
          <w:lang w:val="en-IE"/>
        </w:rPr>
        <w:t>September 2023</w:t>
      </w:r>
      <w:r w:rsidR="006E1E2F">
        <w:rPr>
          <w:lang w:val="en-IE"/>
        </w:rPr>
        <w:t>.</w:t>
      </w:r>
      <w:r w:rsidRPr="00501BF8">
        <w:rPr>
          <w:b/>
          <w:lang w:val="en-IE"/>
        </w:rPr>
        <w:t xml:space="preserve"> </w:t>
      </w:r>
      <w:r w:rsidR="006E1E2F" w:rsidRPr="006E1E2F">
        <w:rPr>
          <w:lang w:val="en-IE"/>
        </w:rPr>
        <w:t>T</w:t>
      </w:r>
      <w:r w:rsidRPr="006E1E2F">
        <w:rPr>
          <w:lang w:val="en-IE"/>
        </w:rPr>
        <w:t>h</w:t>
      </w:r>
      <w:r w:rsidRPr="00501BF8">
        <w:rPr>
          <w:lang w:val="en-IE"/>
        </w:rPr>
        <w:t>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review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will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take</w:t>
      </w:r>
      <w:r w:rsidRPr="00501BF8">
        <w:rPr>
          <w:spacing w:val="-1"/>
          <w:lang w:val="en-IE"/>
        </w:rPr>
        <w:t xml:space="preserve"> </w:t>
      </w:r>
      <w:r w:rsidR="006E1E2F">
        <w:rPr>
          <w:lang w:val="en-IE"/>
        </w:rPr>
        <w:t xml:space="preserve">place in Geneva on </w:t>
      </w:r>
      <w:r w:rsidR="00501BF8">
        <w:rPr>
          <w:b/>
          <w:lang w:val="en-IE"/>
        </w:rPr>
        <w:t>15</w:t>
      </w:r>
      <w:r w:rsidR="006E1E2F">
        <w:rPr>
          <w:b/>
          <w:lang w:val="en-IE"/>
        </w:rPr>
        <w:t>-</w:t>
      </w:r>
      <w:r w:rsidR="00501BF8">
        <w:rPr>
          <w:b/>
          <w:lang w:val="en-IE"/>
        </w:rPr>
        <w:t>16 February</w:t>
      </w:r>
      <w:r w:rsidR="006E1E2F">
        <w:rPr>
          <w:lang w:val="en-IE"/>
        </w:rPr>
        <w:t xml:space="preserve">, </w:t>
      </w:r>
      <w:r w:rsidR="006E1E2F" w:rsidRPr="00501BF8">
        <w:rPr>
          <w:lang w:val="en-IE"/>
        </w:rPr>
        <w:t>during CESCR’s 75</w:t>
      </w:r>
      <w:r w:rsidR="006E1E2F" w:rsidRPr="00501BF8">
        <w:rPr>
          <w:vertAlign w:val="superscript"/>
          <w:lang w:val="en-IE"/>
        </w:rPr>
        <w:t>th</w:t>
      </w:r>
      <w:r w:rsidR="006E1E2F" w:rsidRPr="00501BF8">
        <w:rPr>
          <w:lang w:val="en-IE"/>
        </w:rPr>
        <w:t xml:space="preserve"> session</w:t>
      </w:r>
      <w:r w:rsidRPr="00501BF8">
        <w:rPr>
          <w:lang w:val="en-IE"/>
        </w:rPr>
        <w:t xml:space="preserve">. Parallel reports </w:t>
      </w:r>
      <w:proofErr w:type="gramStart"/>
      <w:r w:rsidRPr="00501BF8">
        <w:rPr>
          <w:lang w:val="en-IE"/>
        </w:rPr>
        <w:t>may be submitted</w:t>
      </w:r>
      <w:proofErr w:type="gramEnd"/>
      <w:r w:rsidRPr="00501BF8">
        <w:rPr>
          <w:lang w:val="en-IE"/>
        </w:rPr>
        <w:t xml:space="preserve"> up to </w:t>
      </w:r>
      <w:r w:rsidRPr="00501BF8">
        <w:rPr>
          <w:b/>
          <w:lang w:val="en-IE"/>
        </w:rPr>
        <w:t>1</w:t>
      </w:r>
      <w:r w:rsidR="00501BF8">
        <w:rPr>
          <w:b/>
          <w:lang w:val="en-IE"/>
        </w:rPr>
        <w:t>2</w:t>
      </w:r>
      <w:r w:rsidRPr="00501BF8">
        <w:rPr>
          <w:b/>
          <w:lang w:val="en-IE"/>
        </w:rPr>
        <w:t xml:space="preserve"> January 2024</w:t>
      </w:r>
      <w:r w:rsidRPr="00501BF8">
        <w:rPr>
          <w:lang w:val="en-IE"/>
        </w:rPr>
        <w:t>.</w:t>
      </w:r>
      <w:r w:rsidR="00501BF8">
        <w:rPr>
          <w:rStyle w:val="FootnoteReference"/>
          <w:lang w:val="en-IE"/>
        </w:rPr>
        <w:footnoteReference w:id="1"/>
      </w:r>
    </w:p>
    <w:p w:rsidR="00DA1C79" w:rsidRPr="00501BF8" w:rsidRDefault="00C72756">
      <w:pPr>
        <w:pStyle w:val="BodyText"/>
        <w:spacing w:before="160" w:line="360" w:lineRule="auto"/>
        <w:ind w:left="112"/>
        <w:rPr>
          <w:lang w:val="en-IE"/>
        </w:rPr>
      </w:pPr>
      <w:r w:rsidRPr="00501BF8">
        <w:rPr>
          <w:lang w:val="en-IE"/>
        </w:rPr>
        <w:t>Civil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society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may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attend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review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virtually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or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in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person.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CESCR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will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meet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with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civil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society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prior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to the review for an informal briefing.</w:t>
      </w:r>
    </w:p>
    <w:p w:rsidR="00DA1C79" w:rsidRPr="00501BF8" w:rsidRDefault="00C72756">
      <w:pPr>
        <w:pStyle w:val="Heading1"/>
        <w:spacing w:before="159"/>
        <w:rPr>
          <w:lang w:val="en-IE"/>
        </w:rPr>
      </w:pPr>
      <w:r w:rsidRPr="00501BF8">
        <w:rPr>
          <w:color w:val="0095A9"/>
          <w:lang w:val="en-IE"/>
        </w:rPr>
        <w:t>General</w:t>
      </w:r>
      <w:r w:rsidRPr="00501BF8">
        <w:rPr>
          <w:color w:val="0095A9"/>
          <w:spacing w:val="-7"/>
          <w:lang w:val="en-IE"/>
        </w:rPr>
        <w:t xml:space="preserve"> </w:t>
      </w:r>
      <w:r w:rsidRPr="00501BF8">
        <w:rPr>
          <w:color w:val="0095A9"/>
          <w:lang w:val="en-IE"/>
        </w:rPr>
        <w:t>guidelines</w:t>
      </w:r>
      <w:r w:rsidRPr="00501BF8">
        <w:rPr>
          <w:color w:val="0095A9"/>
          <w:spacing w:val="-2"/>
          <w:lang w:val="en-IE"/>
        </w:rPr>
        <w:t xml:space="preserve"> </w:t>
      </w:r>
      <w:r w:rsidRPr="00501BF8">
        <w:rPr>
          <w:color w:val="0095A9"/>
          <w:lang w:val="en-IE"/>
        </w:rPr>
        <w:t>for</w:t>
      </w:r>
      <w:r w:rsidRPr="00501BF8">
        <w:rPr>
          <w:color w:val="0095A9"/>
          <w:spacing w:val="-3"/>
          <w:lang w:val="en-IE"/>
        </w:rPr>
        <w:t xml:space="preserve"> </w:t>
      </w:r>
      <w:r w:rsidRPr="00501BF8">
        <w:rPr>
          <w:color w:val="0095A9"/>
          <w:lang w:val="en-IE"/>
        </w:rPr>
        <w:t>the</w:t>
      </w:r>
      <w:r w:rsidRPr="00501BF8">
        <w:rPr>
          <w:color w:val="0095A9"/>
          <w:spacing w:val="-2"/>
          <w:lang w:val="en-IE"/>
        </w:rPr>
        <w:t xml:space="preserve"> </w:t>
      </w:r>
      <w:r w:rsidRPr="00501BF8">
        <w:rPr>
          <w:color w:val="0095A9"/>
          <w:lang w:val="en-IE"/>
        </w:rPr>
        <w:t>preparation</w:t>
      </w:r>
      <w:r w:rsidRPr="00501BF8">
        <w:rPr>
          <w:color w:val="0095A9"/>
          <w:spacing w:val="-4"/>
          <w:lang w:val="en-IE"/>
        </w:rPr>
        <w:t xml:space="preserve"> </w:t>
      </w:r>
      <w:r w:rsidRPr="00501BF8">
        <w:rPr>
          <w:color w:val="0095A9"/>
          <w:lang w:val="en-IE"/>
        </w:rPr>
        <w:t>of</w:t>
      </w:r>
      <w:r w:rsidRPr="00501BF8">
        <w:rPr>
          <w:color w:val="0095A9"/>
          <w:spacing w:val="-3"/>
          <w:lang w:val="en-IE"/>
        </w:rPr>
        <w:t xml:space="preserve"> </w:t>
      </w:r>
      <w:r w:rsidRPr="00501BF8">
        <w:rPr>
          <w:color w:val="0095A9"/>
          <w:lang w:val="en-IE"/>
        </w:rPr>
        <w:t>parallel</w:t>
      </w:r>
      <w:r w:rsidRPr="00501BF8">
        <w:rPr>
          <w:color w:val="0095A9"/>
          <w:spacing w:val="-1"/>
          <w:lang w:val="en-IE"/>
        </w:rPr>
        <w:t xml:space="preserve"> </w:t>
      </w:r>
      <w:r w:rsidRPr="00501BF8">
        <w:rPr>
          <w:color w:val="0095A9"/>
          <w:spacing w:val="-2"/>
          <w:lang w:val="en-IE"/>
        </w:rPr>
        <w:t>reports</w:t>
      </w:r>
    </w:p>
    <w:p w:rsidR="00DA1C79" w:rsidRPr="00501BF8" w:rsidRDefault="00C72756">
      <w:pPr>
        <w:pStyle w:val="BodyText"/>
        <w:spacing w:before="380" w:line="360" w:lineRule="auto"/>
        <w:ind w:left="112" w:right="183"/>
        <w:rPr>
          <w:lang w:val="en-IE"/>
        </w:rPr>
      </w:pPr>
      <w:r w:rsidRPr="00501BF8">
        <w:rPr>
          <w:lang w:val="en-IE"/>
        </w:rPr>
        <w:t>CESCR welcomes specific, reliable and objective information from international, regional, national and local organisations. CESCR encourages comprehensive submissions prepared by coalitions (as opposed to thematic reports which are narrow</w:t>
      </w:r>
      <w:r w:rsidR="00DA5AC6">
        <w:rPr>
          <w:lang w:val="en-IE"/>
        </w:rPr>
        <w:t xml:space="preserve">ly focused on specific rights), and </w:t>
      </w:r>
      <w:r w:rsidR="00DA5AC6" w:rsidRPr="00501BF8">
        <w:rPr>
          <w:lang w:val="en-IE"/>
        </w:rPr>
        <w:t>recommends</w:t>
      </w:r>
      <w:r w:rsidR="00DA5AC6" w:rsidRPr="00501BF8">
        <w:rPr>
          <w:spacing w:val="-6"/>
          <w:lang w:val="en-IE"/>
        </w:rPr>
        <w:t xml:space="preserve"> </w:t>
      </w:r>
      <w:r w:rsidR="00DA5AC6" w:rsidRPr="00501BF8">
        <w:rPr>
          <w:lang w:val="en-IE"/>
        </w:rPr>
        <w:t>numbering</w:t>
      </w:r>
      <w:r w:rsidR="00DA5AC6" w:rsidRPr="00501BF8">
        <w:rPr>
          <w:spacing w:val="-4"/>
          <w:lang w:val="en-IE"/>
        </w:rPr>
        <w:t xml:space="preserve"> </w:t>
      </w:r>
      <w:r w:rsidR="00DA5AC6" w:rsidRPr="00501BF8">
        <w:rPr>
          <w:lang w:val="en-IE"/>
        </w:rPr>
        <w:t>paragraphs</w:t>
      </w:r>
      <w:r w:rsidR="00DA5AC6" w:rsidRPr="00501BF8">
        <w:rPr>
          <w:spacing w:val="-3"/>
          <w:lang w:val="en-IE"/>
        </w:rPr>
        <w:t xml:space="preserve"> </w:t>
      </w:r>
      <w:r w:rsidR="00DA5AC6" w:rsidRPr="00501BF8">
        <w:rPr>
          <w:lang w:val="en-IE"/>
        </w:rPr>
        <w:t>for</w:t>
      </w:r>
      <w:r w:rsidR="00DA5AC6" w:rsidRPr="00501BF8">
        <w:rPr>
          <w:spacing w:val="-3"/>
          <w:lang w:val="en-IE"/>
        </w:rPr>
        <w:t xml:space="preserve"> </w:t>
      </w:r>
      <w:r w:rsidR="00DA5AC6" w:rsidRPr="00501BF8">
        <w:rPr>
          <w:lang w:val="en-IE"/>
        </w:rPr>
        <w:t>ease</w:t>
      </w:r>
      <w:r w:rsidR="00DA5AC6" w:rsidRPr="00501BF8">
        <w:rPr>
          <w:spacing w:val="-6"/>
          <w:lang w:val="en-IE"/>
        </w:rPr>
        <w:t xml:space="preserve"> </w:t>
      </w:r>
      <w:r w:rsidR="00DA5AC6" w:rsidRPr="00501BF8">
        <w:rPr>
          <w:lang w:val="en-IE"/>
        </w:rPr>
        <w:t>of</w:t>
      </w:r>
      <w:r w:rsidR="00DA5AC6" w:rsidRPr="00501BF8">
        <w:rPr>
          <w:spacing w:val="-3"/>
          <w:lang w:val="en-IE"/>
        </w:rPr>
        <w:t xml:space="preserve"> </w:t>
      </w:r>
      <w:r w:rsidR="00DA5AC6" w:rsidRPr="00501BF8">
        <w:rPr>
          <w:lang w:val="en-IE"/>
        </w:rPr>
        <w:t>reference.</w:t>
      </w:r>
      <w:r w:rsidR="00DA5AC6">
        <w:rPr>
          <w:lang w:val="en-IE"/>
        </w:rPr>
        <w:t xml:space="preserve"> CESCR invites submissions of no more than 10 pages from individual organisations and no more than 15 pages for coalition submissions. </w:t>
      </w:r>
      <w:bookmarkStart w:id="0" w:name="_GoBack"/>
      <w:bookmarkEnd w:id="0"/>
    </w:p>
    <w:p w:rsidR="00DA1C79" w:rsidRPr="00501BF8" w:rsidRDefault="00C72756">
      <w:pPr>
        <w:pStyle w:val="BodyText"/>
        <w:spacing w:before="160" w:line="360" w:lineRule="auto"/>
        <w:ind w:left="112" w:right="128"/>
        <w:rPr>
          <w:lang w:val="en-IE"/>
        </w:rPr>
      </w:pPr>
      <w:r w:rsidRPr="00501BF8">
        <w:rPr>
          <w:lang w:val="en-IE"/>
        </w:rPr>
        <w:t>CESCR’s List of Issues will be a key document in the preparation of parallel reports and should guide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civil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society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reporting.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However,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CESCR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does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not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focus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strictly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on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List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of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Issues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during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the review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and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will consider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matters outside of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these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thematic areas if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raised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by civil society.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In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recent years,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CESCR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has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developed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a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particular interest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in business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and human rights,</w:t>
      </w:r>
      <w:r w:rsidRPr="00501BF8">
        <w:rPr>
          <w:spacing w:val="-1"/>
          <w:lang w:val="en-IE"/>
        </w:rPr>
        <w:t xml:space="preserve"> </w:t>
      </w:r>
      <w:r w:rsidRPr="00501BF8">
        <w:rPr>
          <w:lang w:val="en-IE"/>
        </w:rPr>
        <w:t>climate change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 xml:space="preserve">and </w:t>
      </w:r>
      <w:r w:rsidRPr="00501BF8">
        <w:rPr>
          <w:spacing w:val="-2"/>
          <w:lang w:val="en-IE"/>
        </w:rPr>
        <w:t>Covid-19.</w:t>
      </w:r>
    </w:p>
    <w:p w:rsidR="00DA1C79" w:rsidRPr="00501BF8" w:rsidRDefault="00DA1C79">
      <w:pPr>
        <w:spacing w:line="360" w:lineRule="auto"/>
        <w:rPr>
          <w:lang w:val="en-IE"/>
        </w:rPr>
        <w:sectPr w:rsidR="00DA1C79" w:rsidRPr="00501BF8">
          <w:pgSz w:w="11910" w:h="16840"/>
          <w:pgMar w:top="1380" w:right="1020" w:bottom="1100" w:left="1020" w:header="0" w:footer="912" w:gutter="0"/>
          <w:cols w:space="720"/>
        </w:sectPr>
      </w:pPr>
    </w:p>
    <w:p w:rsidR="00DA1C79" w:rsidRPr="00501BF8" w:rsidRDefault="00C72756">
      <w:pPr>
        <w:pStyle w:val="Heading1"/>
        <w:spacing w:line="439" w:lineRule="exact"/>
        <w:rPr>
          <w:lang w:val="en-IE"/>
        </w:rPr>
      </w:pPr>
      <w:r w:rsidRPr="00501BF8">
        <w:rPr>
          <w:color w:val="0095A9"/>
          <w:lang w:val="en-IE"/>
        </w:rPr>
        <w:lastRenderedPageBreak/>
        <w:t>Submission</w:t>
      </w:r>
      <w:r w:rsidRPr="00501BF8">
        <w:rPr>
          <w:color w:val="0095A9"/>
          <w:spacing w:val="-6"/>
          <w:lang w:val="en-IE"/>
        </w:rPr>
        <w:t xml:space="preserve"> </w:t>
      </w:r>
      <w:r w:rsidRPr="00501BF8">
        <w:rPr>
          <w:color w:val="0095A9"/>
          <w:spacing w:val="-2"/>
          <w:lang w:val="en-IE"/>
        </w:rPr>
        <w:t>details</w:t>
      </w:r>
    </w:p>
    <w:p w:rsidR="00DA1C79" w:rsidRPr="00501BF8" w:rsidRDefault="00C72756">
      <w:pPr>
        <w:pStyle w:val="BodyText"/>
        <w:spacing w:before="381" w:line="360" w:lineRule="auto"/>
        <w:ind w:left="112" w:right="186"/>
        <w:rPr>
          <w:lang w:val="en-IE"/>
        </w:rPr>
      </w:pPr>
      <w:r w:rsidRPr="00501BF8">
        <w:rPr>
          <w:lang w:val="en-IE"/>
        </w:rPr>
        <w:t xml:space="preserve">Organisations should create an account on the </w:t>
      </w:r>
      <w:hyperlink r:id="rId9">
        <w:r w:rsidRPr="00501BF8">
          <w:rPr>
            <w:color w:val="0462C1"/>
            <w:u w:val="single" w:color="0462C1"/>
            <w:lang w:val="en-IE"/>
          </w:rPr>
          <w:t>OHCHR online CESCR submissions system</w:t>
        </w:r>
      </w:hyperlink>
      <w:r w:rsidRPr="00501BF8">
        <w:rPr>
          <w:lang w:val="en-IE"/>
        </w:rPr>
        <w:t>. To create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an account,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organisational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details</w:t>
      </w:r>
      <w:r w:rsidRPr="00501BF8">
        <w:rPr>
          <w:spacing w:val="-4"/>
          <w:lang w:val="en-IE"/>
        </w:rPr>
        <w:t xml:space="preserve"> </w:t>
      </w:r>
      <w:proofErr w:type="gramStart"/>
      <w:r w:rsidRPr="00501BF8">
        <w:rPr>
          <w:lang w:val="en-IE"/>
        </w:rPr>
        <w:t>must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be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registered</w:t>
      </w:r>
      <w:proofErr w:type="gramEnd"/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on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system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via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an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online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form.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 xml:space="preserve">The account will not be active until the CESCR Submissions System team administrator confirms your registration (you </w:t>
      </w:r>
      <w:proofErr w:type="gramStart"/>
      <w:r w:rsidRPr="00501BF8">
        <w:rPr>
          <w:lang w:val="en-IE"/>
        </w:rPr>
        <w:t>will be notified</w:t>
      </w:r>
      <w:proofErr w:type="gramEnd"/>
      <w:r w:rsidRPr="00501BF8">
        <w:rPr>
          <w:lang w:val="en-IE"/>
        </w:rPr>
        <w:t xml:space="preserve"> by email). The CESCR team are available to respond to any technical issues (</w:t>
      </w:r>
      <w:hyperlink r:id="rId10">
        <w:r w:rsidRPr="00501BF8">
          <w:rPr>
            <w:color w:val="0462C1"/>
            <w:u w:val="single" w:color="0462C1"/>
            <w:lang w:val="en-IE"/>
          </w:rPr>
          <w:t>cescr@ohchr.org</w:t>
        </w:r>
      </w:hyperlink>
      <w:r w:rsidRPr="00501BF8">
        <w:rPr>
          <w:lang w:val="en-IE"/>
        </w:rPr>
        <w:t>).</w:t>
      </w:r>
    </w:p>
    <w:p w:rsidR="00DA1C79" w:rsidRPr="00501BF8" w:rsidRDefault="00C72756">
      <w:pPr>
        <w:pStyle w:val="BodyText"/>
        <w:spacing w:before="161" w:line="360" w:lineRule="auto"/>
        <w:ind w:left="112" w:right="358"/>
        <w:jc w:val="both"/>
        <w:rPr>
          <w:lang w:val="en-IE"/>
        </w:rPr>
      </w:pPr>
      <w:r w:rsidRPr="00501BF8">
        <w:rPr>
          <w:lang w:val="en-IE"/>
        </w:rPr>
        <w:t>Individual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organisations</w:t>
      </w:r>
      <w:r w:rsidRPr="00501BF8">
        <w:rPr>
          <w:spacing w:val="-8"/>
          <w:lang w:val="en-IE"/>
        </w:rPr>
        <w:t xml:space="preserve"> </w:t>
      </w:r>
      <w:r w:rsidRPr="00501BF8">
        <w:rPr>
          <w:lang w:val="en-IE"/>
        </w:rPr>
        <w:t>can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only</w:t>
      </w:r>
      <w:r w:rsidRPr="00501BF8">
        <w:rPr>
          <w:spacing w:val="-6"/>
          <w:lang w:val="en-IE"/>
        </w:rPr>
        <w:t xml:space="preserve"> </w:t>
      </w:r>
      <w:r w:rsidRPr="00501BF8">
        <w:rPr>
          <w:lang w:val="en-IE"/>
        </w:rPr>
        <w:t>register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on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submissions</w:t>
      </w:r>
      <w:r w:rsidRPr="00501BF8">
        <w:rPr>
          <w:spacing w:val="-3"/>
          <w:lang w:val="en-IE"/>
        </w:rPr>
        <w:t xml:space="preserve"> </w:t>
      </w:r>
      <w:r w:rsidRPr="00501BF8">
        <w:rPr>
          <w:lang w:val="en-IE"/>
        </w:rPr>
        <w:t>system</w:t>
      </w:r>
      <w:r w:rsidRPr="00501BF8">
        <w:rPr>
          <w:spacing w:val="-4"/>
          <w:lang w:val="en-IE"/>
        </w:rPr>
        <w:t xml:space="preserve"> </w:t>
      </w:r>
      <w:r w:rsidRPr="00501BF8">
        <w:rPr>
          <w:lang w:val="en-IE"/>
        </w:rPr>
        <w:t>once.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Once</w:t>
      </w:r>
      <w:r w:rsidRPr="00501BF8">
        <w:rPr>
          <w:spacing w:val="-2"/>
          <w:lang w:val="en-IE"/>
        </w:rPr>
        <w:t xml:space="preserve"> </w:t>
      </w:r>
      <w:r w:rsidRPr="00501BF8">
        <w:rPr>
          <w:lang w:val="en-IE"/>
        </w:rPr>
        <w:t>the</w:t>
      </w:r>
      <w:r w:rsidRPr="00501BF8">
        <w:rPr>
          <w:spacing w:val="-5"/>
          <w:lang w:val="en-IE"/>
        </w:rPr>
        <w:t xml:space="preserve"> </w:t>
      </w:r>
      <w:r w:rsidRPr="00501BF8">
        <w:rPr>
          <w:lang w:val="en-IE"/>
        </w:rPr>
        <w:t>account</w:t>
      </w:r>
      <w:r w:rsidRPr="00501BF8">
        <w:rPr>
          <w:spacing w:val="-4"/>
          <w:lang w:val="en-IE"/>
        </w:rPr>
        <w:t xml:space="preserve"> </w:t>
      </w:r>
      <w:proofErr w:type="gramStart"/>
      <w:r w:rsidRPr="00501BF8">
        <w:rPr>
          <w:lang w:val="en-IE"/>
        </w:rPr>
        <w:t>has been created</w:t>
      </w:r>
      <w:proofErr w:type="gramEnd"/>
      <w:r w:rsidRPr="00501BF8">
        <w:rPr>
          <w:lang w:val="en-IE"/>
        </w:rPr>
        <w:t xml:space="preserve"> and the registration has been confirmed, the organisation can log in to upload the report before the deadline.</w:t>
      </w:r>
    </w:p>
    <w:p w:rsidR="00DA1C79" w:rsidRPr="00501BF8" w:rsidRDefault="00C72756">
      <w:pPr>
        <w:pStyle w:val="Heading1"/>
        <w:spacing w:before="160"/>
        <w:jc w:val="both"/>
        <w:rPr>
          <w:lang w:val="en-IE"/>
        </w:rPr>
      </w:pPr>
      <w:r w:rsidRPr="00501BF8">
        <w:rPr>
          <w:color w:val="0095A9"/>
          <w:lang w:val="en-IE"/>
        </w:rPr>
        <w:t>Further</w:t>
      </w:r>
      <w:r w:rsidRPr="00501BF8">
        <w:rPr>
          <w:color w:val="0095A9"/>
          <w:spacing w:val="-2"/>
          <w:lang w:val="en-IE"/>
        </w:rPr>
        <w:t xml:space="preserve"> resources</w:t>
      </w:r>
    </w:p>
    <w:p w:rsidR="00DA1C79" w:rsidRPr="00501BF8" w:rsidRDefault="00C72756">
      <w:pPr>
        <w:pStyle w:val="ListParagraph"/>
        <w:numPr>
          <w:ilvl w:val="0"/>
          <w:numId w:val="1"/>
        </w:numPr>
        <w:tabs>
          <w:tab w:val="left" w:pos="833"/>
        </w:tabs>
        <w:spacing w:before="380"/>
        <w:rPr>
          <w:sz w:val="24"/>
          <w:lang w:val="en-IE"/>
        </w:rPr>
      </w:pPr>
      <w:r w:rsidRPr="00501BF8">
        <w:rPr>
          <w:sz w:val="24"/>
          <w:lang w:val="en-IE"/>
        </w:rPr>
        <w:t>75</w:t>
      </w:r>
      <w:r w:rsidRPr="00501BF8">
        <w:rPr>
          <w:sz w:val="24"/>
          <w:vertAlign w:val="superscript"/>
          <w:lang w:val="en-IE"/>
        </w:rPr>
        <w:t>th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Session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of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the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Committee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on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Economic,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Social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and</w:t>
      </w:r>
      <w:r w:rsidRPr="00501BF8">
        <w:rPr>
          <w:spacing w:val="-2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Cultural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Rights,</w:t>
      </w:r>
      <w:r w:rsidRPr="00501BF8">
        <w:rPr>
          <w:spacing w:val="2"/>
          <w:sz w:val="24"/>
          <w:lang w:val="en-IE"/>
        </w:rPr>
        <w:t xml:space="preserve"> </w:t>
      </w:r>
      <w:hyperlink r:id="rId11">
        <w:r w:rsidRPr="00501BF8">
          <w:rPr>
            <w:color w:val="0462C1"/>
            <w:sz w:val="24"/>
            <w:u w:val="single" w:color="0462C1"/>
            <w:lang w:val="en-IE"/>
          </w:rPr>
          <w:t>Session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page</w:t>
        </w:r>
      </w:hyperlink>
    </w:p>
    <w:p w:rsidR="00DA1C79" w:rsidRPr="00501BF8" w:rsidRDefault="00DA1C79">
      <w:pPr>
        <w:pStyle w:val="BodyText"/>
        <w:spacing w:before="9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1"/>
        </w:numPr>
        <w:tabs>
          <w:tab w:val="left" w:pos="833"/>
        </w:tabs>
        <w:spacing w:line="360" w:lineRule="auto"/>
        <w:ind w:right="834"/>
        <w:rPr>
          <w:sz w:val="24"/>
          <w:lang w:val="en-IE"/>
        </w:rPr>
      </w:pPr>
      <w:r w:rsidRPr="00501BF8">
        <w:rPr>
          <w:sz w:val="24"/>
          <w:lang w:val="en-IE"/>
        </w:rPr>
        <w:t>Committee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on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Economic,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Social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and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Cultural</w:t>
      </w:r>
      <w:r w:rsidRPr="00501BF8">
        <w:rPr>
          <w:spacing w:val="-3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 xml:space="preserve">Rights, </w:t>
      </w:r>
      <w:hyperlink r:id="rId12">
        <w:r w:rsidRPr="00501BF8">
          <w:rPr>
            <w:color w:val="0462C1"/>
            <w:sz w:val="24"/>
            <w:u w:val="single" w:color="0462C1"/>
            <w:lang w:val="en-IE"/>
          </w:rPr>
          <w:t>Rules</w:t>
        </w:r>
        <w:r w:rsidRPr="00501BF8">
          <w:rPr>
            <w:color w:val="0462C1"/>
            <w:spacing w:val="-6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of</w:t>
        </w:r>
        <w:r w:rsidRPr="00501BF8">
          <w:rPr>
            <w:color w:val="0462C1"/>
            <w:spacing w:val="-5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procedure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and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working</w:t>
        </w:r>
      </w:hyperlink>
      <w:r w:rsidRPr="00501BF8">
        <w:rPr>
          <w:color w:val="0462C1"/>
          <w:sz w:val="24"/>
          <w:lang w:val="en-IE"/>
        </w:rPr>
        <w:t xml:space="preserve"> </w:t>
      </w:r>
      <w:hyperlink r:id="rId13"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>methods</w:t>
        </w:r>
      </w:hyperlink>
    </w:p>
    <w:p w:rsidR="00DA1C79" w:rsidRPr="00501BF8" w:rsidRDefault="00C72756">
      <w:pPr>
        <w:pStyle w:val="ListParagraph"/>
        <w:numPr>
          <w:ilvl w:val="0"/>
          <w:numId w:val="1"/>
        </w:numPr>
        <w:tabs>
          <w:tab w:val="left" w:pos="833"/>
        </w:tabs>
        <w:spacing w:before="240"/>
        <w:rPr>
          <w:sz w:val="24"/>
          <w:lang w:val="en-IE"/>
        </w:rPr>
      </w:pPr>
      <w:r w:rsidRPr="00501BF8">
        <w:rPr>
          <w:sz w:val="24"/>
          <w:lang w:val="en-IE"/>
        </w:rPr>
        <w:t>CESCR,</w:t>
      </w:r>
      <w:r w:rsidRPr="00501BF8">
        <w:rPr>
          <w:spacing w:val="-5"/>
          <w:sz w:val="24"/>
          <w:lang w:val="en-IE"/>
        </w:rPr>
        <w:t xml:space="preserve"> </w:t>
      </w:r>
      <w:hyperlink r:id="rId14">
        <w:r w:rsidRPr="00501BF8">
          <w:rPr>
            <w:color w:val="0462C1"/>
            <w:sz w:val="24"/>
            <w:u w:val="single" w:color="0462C1"/>
            <w:lang w:val="en-IE"/>
          </w:rPr>
          <w:t>List</w:t>
        </w:r>
        <w:r w:rsidRPr="00501BF8">
          <w:rPr>
            <w:color w:val="0462C1"/>
            <w:spacing w:val="-1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of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issues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in</w:t>
        </w:r>
        <w:r w:rsidRPr="00501BF8">
          <w:rPr>
            <w:color w:val="0462C1"/>
            <w:spacing w:val="-1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relation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to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the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fourth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periodic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report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of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Ireland</w:t>
        </w:r>
      </w:hyperlink>
      <w:r w:rsidRPr="00501BF8">
        <w:rPr>
          <w:color w:val="0462C1"/>
          <w:spacing w:val="6"/>
          <w:sz w:val="24"/>
          <w:lang w:val="en-IE"/>
        </w:rPr>
        <w:t xml:space="preserve"> </w:t>
      </w:r>
      <w:r w:rsidRPr="00501BF8">
        <w:rPr>
          <w:spacing w:val="-2"/>
          <w:sz w:val="24"/>
          <w:lang w:val="en-IE"/>
        </w:rPr>
        <w:t>(2022)</w:t>
      </w:r>
    </w:p>
    <w:p w:rsidR="00DA1C79" w:rsidRPr="00501BF8" w:rsidRDefault="00DA1C79">
      <w:pPr>
        <w:pStyle w:val="BodyText"/>
        <w:spacing w:before="93"/>
        <w:rPr>
          <w:lang w:val="en-IE"/>
        </w:rPr>
      </w:pPr>
    </w:p>
    <w:p w:rsidR="00DA1C79" w:rsidRPr="00501BF8" w:rsidRDefault="00C72756">
      <w:pPr>
        <w:pStyle w:val="ListParagraph"/>
        <w:numPr>
          <w:ilvl w:val="0"/>
          <w:numId w:val="1"/>
        </w:numPr>
        <w:tabs>
          <w:tab w:val="left" w:pos="833"/>
        </w:tabs>
        <w:spacing w:line="360" w:lineRule="auto"/>
        <w:ind w:right="477"/>
        <w:rPr>
          <w:sz w:val="24"/>
          <w:lang w:val="en-IE"/>
        </w:rPr>
      </w:pPr>
      <w:r w:rsidRPr="00501BF8">
        <w:rPr>
          <w:sz w:val="24"/>
          <w:lang w:val="en-IE"/>
        </w:rPr>
        <w:t>IHREC,</w:t>
      </w:r>
      <w:r w:rsidRPr="00501BF8">
        <w:rPr>
          <w:spacing w:val="-2"/>
          <w:sz w:val="24"/>
          <w:lang w:val="en-IE"/>
        </w:rPr>
        <w:t xml:space="preserve"> </w:t>
      </w:r>
      <w:hyperlink r:id="rId15">
        <w:r w:rsidRPr="00501BF8">
          <w:rPr>
            <w:color w:val="0462C1"/>
            <w:sz w:val="24"/>
            <w:u w:val="single" w:color="0462C1"/>
            <w:lang w:val="en-IE"/>
          </w:rPr>
          <w:t>Submission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to</w:t>
        </w:r>
        <w:r w:rsidRPr="00501BF8">
          <w:rPr>
            <w:color w:val="0462C1"/>
            <w:spacing w:val="-5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the</w:t>
        </w:r>
        <w:r w:rsidRPr="00501BF8">
          <w:rPr>
            <w:color w:val="0462C1"/>
            <w:spacing w:val="-5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UN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Committee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on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Economic,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Social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and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Cultural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Rights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for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the</w:t>
        </w:r>
      </w:hyperlink>
      <w:r w:rsidRPr="00501BF8">
        <w:rPr>
          <w:color w:val="0462C1"/>
          <w:sz w:val="24"/>
          <w:lang w:val="en-IE"/>
        </w:rPr>
        <w:t xml:space="preserve"> </w:t>
      </w:r>
      <w:hyperlink r:id="rId16">
        <w:r w:rsidRPr="00501BF8">
          <w:rPr>
            <w:color w:val="0462C1"/>
            <w:sz w:val="24"/>
            <w:u w:val="single" w:color="0462C1"/>
            <w:lang w:val="en-IE"/>
          </w:rPr>
          <w:t>List of Issues on Ireland’s Fourth Periodic Report</w:t>
        </w:r>
      </w:hyperlink>
      <w:r w:rsidRPr="00501BF8">
        <w:rPr>
          <w:color w:val="0462C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(2021)</w:t>
      </w:r>
    </w:p>
    <w:p w:rsidR="00DA1C79" w:rsidRPr="00501BF8" w:rsidRDefault="00C72756">
      <w:pPr>
        <w:pStyle w:val="ListParagraph"/>
        <w:numPr>
          <w:ilvl w:val="0"/>
          <w:numId w:val="1"/>
        </w:numPr>
        <w:tabs>
          <w:tab w:val="left" w:pos="833"/>
        </w:tabs>
        <w:spacing w:before="240" w:line="362" w:lineRule="auto"/>
        <w:ind w:right="655"/>
        <w:rPr>
          <w:sz w:val="24"/>
          <w:lang w:val="en-IE"/>
        </w:rPr>
      </w:pPr>
      <w:r w:rsidRPr="00501BF8">
        <w:rPr>
          <w:sz w:val="24"/>
          <w:lang w:val="en-IE"/>
        </w:rPr>
        <w:t>IHREC,</w:t>
      </w:r>
      <w:r w:rsidRPr="00501BF8">
        <w:rPr>
          <w:spacing w:val="-3"/>
          <w:sz w:val="24"/>
          <w:lang w:val="en-IE"/>
        </w:rPr>
        <w:t xml:space="preserve"> </w:t>
      </w:r>
      <w:hyperlink r:id="rId17">
        <w:r w:rsidRPr="00501BF8">
          <w:rPr>
            <w:color w:val="0462C1"/>
            <w:sz w:val="24"/>
            <w:u w:val="single" w:color="0462C1"/>
            <w:lang w:val="en-IE"/>
          </w:rPr>
          <w:t>Ireland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and</w:t>
        </w:r>
        <w:r w:rsidRPr="00501BF8">
          <w:rPr>
            <w:color w:val="0462C1"/>
            <w:spacing w:val="-5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the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International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Covenant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on</w:t>
        </w:r>
        <w:r w:rsidRPr="00501BF8">
          <w:rPr>
            <w:color w:val="0462C1"/>
            <w:spacing w:val="-5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Economic,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Social</w:t>
        </w:r>
        <w:r w:rsidRPr="00501BF8">
          <w:rPr>
            <w:color w:val="0462C1"/>
            <w:spacing w:val="-6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and</w:t>
        </w:r>
        <w:r w:rsidRPr="00501BF8">
          <w:rPr>
            <w:color w:val="0462C1"/>
            <w:spacing w:val="-3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Cultural</w:t>
        </w:r>
        <w:r w:rsidRPr="00501BF8">
          <w:rPr>
            <w:color w:val="0462C1"/>
            <w:spacing w:val="-6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Rights</w:t>
        </w:r>
      </w:hyperlink>
      <w:r w:rsidRPr="00501BF8">
        <w:rPr>
          <w:color w:val="0462C1"/>
          <w:sz w:val="24"/>
          <w:lang w:val="en-IE"/>
        </w:rPr>
        <w:t xml:space="preserve"> </w:t>
      </w:r>
      <w:r w:rsidRPr="00501BF8">
        <w:rPr>
          <w:spacing w:val="-2"/>
          <w:sz w:val="24"/>
          <w:lang w:val="en-IE"/>
        </w:rPr>
        <w:t>(2015)</w:t>
      </w:r>
    </w:p>
    <w:p w:rsidR="00DA1C79" w:rsidRPr="00501BF8" w:rsidRDefault="00C72756">
      <w:pPr>
        <w:pStyle w:val="ListParagraph"/>
        <w:numPr>
          <w:ilvl w:val="0"/>
          <w:numId w:val="1"/>
        </w:numPr>
        <w:tabs>
          <w:tab w:val="left" w:pos="833"/>
        </w:tabs>
        <w:spacing w:before="236" w:line="360" w:lineRule="auto"/>
        <w:ind w:right="1088"/>
        <w:rPr>
          <w:sz w:val="24"/>
          <w:lang w:val="en-IE"/>
        </w:rPr>
      </w:pPr>
      <w:r w:rsidRPr="00501BF8">
        <w:rPr>
          <w:sz w:val="24"/>
          <w:lang w:val="en-IE"/>
        </w:rPr>
        <w:t>FLAC,</w:t>
      </w:r>
      <w:r w:rsidRPr="00501BF8">
        <w:rPr>
          <w:spacing w:val="-3"/>
          <w:sz w:val="24"/>
          <w:lang w:val="en-IE"/>
        </w:rPr>
        <w:t xml:space="preserve"> </w:t>
      </w:r>
      <w:hyperlink r:id="rId18">
        <w:r w:rsidRPr="00501BF8">
          <w:rPr>
            <w:color w:val="0462C1"/>
            <w:sz w:val="24"/>
            <w:u w:val="single" w:color="0462C1"/>
            <w:lang w:val="en-IE"/>
          </w:rPr>
          <w:t>Parallel</w:t>
        </w:r>
        <w:r w:rsidRPr="00501BF8">
          <w:rPr>
            <w:color w:val="0462C1"/>
            <w:spacing w:val="-5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report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in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response</w:t>
        </w:r>
        <w:r w:rsidRPr="00501BF8">
          <w:rPr>
            <w:color w:val="0462C1"/>
            <w:spacing w:val="-5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to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Ireland’s</w:t>
        </w:r>
        <w:r w:rsidRPr="00501BF8">
          <w:rPr>
            <w:color w:val="0462C1"/>
            <w:spacing w:val="-5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Third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Report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under</w:t>
        </w:r>
        <w:r w:rsidRPr="00501BF8">
          <w:rPr>
            <w:color w:val="0462C1"/>
            <w:spacing w:val="-4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the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 xml:space="preserve"> </w:t>
        </w:r>
        <w:r w:rsidRPr="00501BF8">
          <w:rPr>
            <w:color w:val="0462C1"/>
            <w:sz w:val="24"/>
            <w:u w:val="single" w:color="0462C1"/>
            <w:lang w:val="en-IE"/>
          </w:rPr>
          <w:t>International</w:t>
        </w:r>
      </w:hyperlink>
      <w:r w:rsidRPr="00501BF8">
        <w:rPr>
          <w:color w:val="0462C1"/>
          <w:sz w:val="24"/>
          <w:lang w:val="en-IE"/>
        </w:rPr>
        <w:t xml:space="preserve"> </w:t>
      </w:r>
      <w:hyperlink r:id="rId19">
        <w:r w:rsidRPr="00501BF8">
          <w:rPr>
            <w:color w:val="0462C1"/>
            <w:sz w:val="24"/>
            <w:u w:val="single" w:color="0462C1"/>
            <w:lang w:val="en-IE"/>
          </w:rPr>
          <w:t>Covenant on Economic, Social and Cultural Rights</w:t>
        </w:r>
      </w:hyperlink>
      <w:r w:rsidRPr="00501BF8">
        <w:rPr>
          <w:color w:val="0462C1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(2014)</w:t>
      </w:r>
    </w:p>
    <w:p w:rsidR="00DA1C79" w:rsidRPr="00501BF8" w:rsidRDefault="00C72756">
      <w:pPr>
        <w:pStyle w:val="ListParagraph"/>
        <w:numPr>
          <w:ilvl w:val="0"/>
          <w:numId w:val="1"/>
        </w:numPr>
        <w:tabs>
          <w:tab w:val="left" w:pos="833"/>
        </w:tabs>
        <w:spacing w:before="239"/>
        <w:rPr>
          <w:sz w:val="24"/>
          <w:lang w:val="en-IE"/>
        </w:rPr>
      </w:pPr>
      <w:r w:rsidRPr="00501BF8">
        <w:rPr>
          <w:sz w:val="24"/>
          <w:lang w:val="en-IE"/>
        </w:rPr>
        <w:t>Contact</w:t>
      </w:r>
      <w:r w:rsidRPr="00501BF8">
        <w:rPr>
          <w:spacing w:val="-2"/>
          <w:sz w:val="24"/>
          <w:lang w:val="en-IE"/>
        </w:rPr>
        <w:t xml:space="preserve"> details:</w:t>
      </w:r>
    </w:p>
    <w:p w:rsidR="00DA1C79" w:rsidRPr="00501BF8" w:rsidRDefault="00DA1C79">
      <w:pPr>
        <w:pStyle w:val="BodyText"/>
        <w:spacing w:before="94"/>
        <w:rPr>
          <w:lang w:val="en-IE"/>
        </w:rPr>
      </w:pPr>
    </w:p>
    <w:p w:rsidR="00DA1C79" w:rsidRPr="00501BF8" w:rsidRDefault="00C72756">
      <w:pPr>
        <w:pStyle w:val="ListParagraph"/>
        <w:numPr>
          <w:ilvl w:val="1"/>
          <w:numId w:val="1"/>
        </w:numPr>
        <w:tabs>
          <w:tab w:val="left" w:pos="1552"/>
        </w:tabs>
        <w:ind w:left="1552" w:hanging="359"/>
        <w:rPr>
          <w:sz w:val="24"/>
          <w:lang w:val="en-IE"/>
        </w:rPr>
      </w:pPr>
      <w:r w:rsidRPr="00501BF8">
        <w:rPr>
          <w:sz w:val="24"/>
          <w:lang w:val="en-IE"/>
        </w:rPr>
        <w:t>Secretariat:</w:t>
      </w:r>
      <w:r w:rsidRPr="00501BF8">
        <w:rPr>
          <w:spacing w:val="-6"/>
          <w:sz w:val="24"/>
          <w:lang w:val="en-IE"/>
        </w:rPr>
        <w:t xml:space="preserve"> </w:t>
      </w:r>
      <w:hyperlink r:id="rId20">
        <w:r w:rsidRPr="00501BF8">
          <w:rPr>
            <w:color w:val="0462C1"/>
            <w:sz w:val="24"/>
            <w:u w:val="single" w:color="0462C1"/>
            <w:lang w:val="en-IE"/>
          </w:rPr>
          <w:t>ohchr-</w:t>
        </w:r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>cescr@un.org</w:t>
        </w:r>
      </w:hyperlink>
    </w:p>
    <w:p w:rsidR="00DA1C79" w:rsidRPr="00501BF8" w:rsidRDefault="00DA1C79">
      <w:pPr>
        <w:pStyle w:val="BodyText"/>
        <w:spacing w:before="86"/>
        <w:rPr>
          <w:lang w:val="en-IE"/>
        </w:rPr>
      </w:pPr>
    </w:p>
    <w:p w:rsidR="00DA1C79" w:rsidRPr="00501BF8" w:rsidRDefault="00C72756">
      <w:pPr>
        <w:pStyle w:val="ListParagraph"/>
        <w:numPr>
          <w:ilvl w:val="1"/>
          <w:numId w:val="1"/>
        </w:numPr>
        <w:tabs>
          <w:tab w:val="left" w:pos="1552"/>
        </w:tabs>
        <w:ind w:left="1552" w:hanging="359"/>
        <w:rPr>
          <w:sz w:val="24"/>
          <w:lang w:val="en-IE"/>
        </w:rPr>
      </w:pPr>
      <w:r w:rsidRPr="00501BF8">
        <w:rPr>
          <w:sz w:val="24"/>
          <w:lang w:val="en-IE"/>
        </w:rPr>
        <w:t>Submissions</w:t>
      </w:r>
      <w:r w:rsidRPr="00501BF8">
        <w:rPr>
          <w:spacing w:val="-5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system</w:t>
      </w:r>
      <w:r w:rsidRPr="00501BF8">
        <w:rPr>
          <w:spacing w:val="-6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technical</w:t>
      </w:r>
      <w:r w:rsidRPr="00501BF8">
        <w:rPr>
          <w:spacing w:val="-4"/>
          <w:sz w:val="24"/>
          <w:lang w:val="en-IE"/>
        </w:rPr>
        <w:t xml:space="preserve"> </w:t>
      </w:r>
      <w:r w:rsidRPr="00501BF8">
        <w:rPr>
          <w:sz w:val="24"/>
          <w:lang w:val="en-IE"/>
        </w:rPr>
        <w:t>support:</w:t>
      </w:r>
      <w:r w:rsidRPr="00501BF8">
        <w:rPr>
          <w:spacing w:val="-1"/>
          <w:sz w:val="24"/>
          <w:lang w:val="en-IE"/>
        </w:rPr>
        <w:t xml:space="preserve"> </w:t>
      </w:r>
      <w:hyperlink r:id="rId21">
        <w:r w:rsidRPr="00501BF8">
          <w:rPr>
            <w:color w:val="0462C1"/>
            <w:spacing w:val="-2"/>
            <w:sz w:val="24"/>
            <w:u w:val="single" w:color="0462C1"/>
            <w:lang w:val="en-IE"/>
          </w:rPr>
          <w:t>cescr@ohchr.org</w:t>
        </w:r>
      </w:hyperlink>
    </w:p>
    <w:p w:rsidR="00DA1C79" w:rsidRPr="00501BF8" w:rsidRDefault="00DA1C79">
      <w:pPr>
        <w:rPr>
          <w:sz w:val="24"/>
          <w:lang w:val="en-IE"/>
        </w:rPr>
        <w:sectPr w:rsidR="00DA1C79" w:rsidRPr="00501BF8">
          <w:pgSz w:w="11910" w:h="16840"/>
          <w:pgMar w:top="1420" w:right="1020" w:bottom="1100" w:left="1020" w:header="0" w:footer="912" w:gutter="0"/>
          <w:cols w:space="720"/>
        </w:sectPr>
      </w:pPr>
    </w:p>
    <w:p w:rsidR="00DA1C79" w:rsidRPr="00501BF8" w:rsidRDefault="00C72756">
      <w:pPr>
        <w:pStyle w:val="BodyText"/>
        <w:rPr>
          <w:lang w:val="en-IE"/>
        </w:rPr>
      </w:pPr>
      <w:r w:rsidRPr="00501BF8">
        <w:rPr>
          <w:noProof/>
          <w:lang w:val="en-IE" w:eastAsia="en-IE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152399</wp:posOffset>
            </wp:positionV>
            <wp:extent cx="7560564" cy="10539980"/>
            <wp:effectExtent l="0" t="0" r="0" b="0"/>
            <wp:wrapNone/>
            <wp:docPr id="4" name="Image 4" descr="The Irish Human Rights and Equality Commission 16 – 22 Sráid na Faiche, Baile Átha Cliath, D07 CR20 16 – 22 Green Street, Dublin, D07 CR20 Íosghlao/Lo-Call 1890 245 245 Guthán/Phone + 353 (0) 1 858 3000 Ríomhphost/Email info@ihrec.ie Idirlíon/Web www.ihrec.ie Twitter: @_ihrec Instagram: /irishhumanrightsequality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The Irish Human Rights and Equality Commission 16 – 22 Sráid na Faiche, Baile Átha Cliath, D07 CR20 16 – 22 Green Street, Dublin, D07 CR20 Íosghlao/Lo-Call 1890 245 245 Guthán/Phone + 353 (0) 1 858 3000 Ríomhphost/Email info@ihrec.ie Idirlíon/Web www.ihrec.ie Twitter: @_ihrec Instagram: /irishhumanrightsequality   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3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rPr>
          <w:lang w:val="en-IE"/>
        </w:rPr>
      </w:pPr>
    </w:p>
    <w:p w:rsidR="00DA1C79" w:rsidRPr="00501BF8" w:rsidRDefault="00DA1C79">
      <w:pPr>
        <w:pStyle w:val="BodyText"/>
        <w:spacing w:before="263"/>
        <w:rPr>
          <w:lang w:val="en-IE"/>
        </w:rPr>
      </w:pPr>
    </w:p>
    <w:p w:rsidR="00DA1C79" w:rsidRPr="00501BF8" w:rsidRDefault="00C72756">
      <w:pPr>
        <w:pStyle w:val="BodyText"/>
        <w:ind w:right="111"/>
        <w:jc w:val="right"/>
        <w:rPr>
          <w:lang w:val="en-IE"/>
        </w:rPr>
      </w:pPr>
      <w:r w:rsidRPr="00501BF8">
        <w:rPr>
          <w:spacing w:val="-10"/>
          <w:lang w:val="en-IE"/>
        </w:rPr>
        <w:t>6</w:t>
      </w:r>
    </w:p>
    <w:sectPr w:rsidR="00DA1C79" w:rsidRPr="00501BF8">
      <w:footerReference w:type="default" r:id="rId23"/>
      <w:pgSz w:w="11910" w:h="16840"/>
      <w:pgMar w:top="19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7E" w:rsidRDefault="0027227E">
      <w:r>
        <w:separator/>
      </w:r>
    </w:p>
  </w:endnote>
  <w:endnote w:type="continuationSeparator" w:id="0">
    <w:p w:rsidR="0027227E" w:rsidRDefault="0027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79" w:rsidRDefault="00C72756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0" distR="0" simplePos="0" relativeHeight="487484416" behindDoc="1" locked="0" layoutInCell="1" allowOverlap="1">
              <wp:simplePos x="0" y="0"/>
              <wp:positionH relativeFrom="page">
                <wp:posOffset>6725411</wp:posOffset>
              </wp:positionH>
              <wp:positionV relativeFrom="page">
                <wp:posOffset>9973767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C79" w:rsidRDefault="00C72756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95E7B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9.55pt;margin-top:785.35pt;width:13.1pt;height:14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" filled="f" stroked="f">
              <v:path arrowok="t"/>
              <v:textbox inset="0,0,0,0">
                <w:txbxContent>
                  <w:p w:rsidR="00DA1C79" w:rsidRDefault="00C72756"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95E7B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79" w:rsidRDefault="00DA1C7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7E" w:rsidRDefault="0027227E">
      <w:r>
        <w:separator/>
      </w:r>
    </w:p>
  </w:footnote>
  <w:footnote w:type="continuationSeparator" w:id="0">
    <w:p w:rsidR="0027227E" w:rsidRDefault="0027227E">
      <w:r>
        <w:continuationSeparator/>
      </w:r>
    </w:p>
  </w:footnote>
  <w:footnote w:id="1">
    <w:p w:rsidR="00501BF8" w:rsidRPr="00501BF8" w:rsidRDefault="00501BF8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As all dates are subject to change, please consult the </w:t>
      </w:r>
      <w:hyperlink r:id="rId1" w:history="1">
        <w:r w:rsidRPr="006E1E2F">
          <w:rPr>
            <w:rStyle w:val="Hyperlink"/>
            <w:lang w:val="en-IE"/>
          </w:rPr>
          <w:t>Session Page</w:t>
        </w:r>
      </w:hyperlink>
      <w:r>
        <w:rPr>
          <w:lang w:val="en-IE"/>
        </w:rPr>
        <w:t xml:space="preserve"> for the most up-to-date information.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3BC"/>
    <w:multiLevelType w:val="hybridMultilevel"/>
    <w:tmpl w:val="28D0165E"/>
    <w:lvl w:ilvl="0" w:tplc="9A9A9EA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AEBA9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CAB8754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0AA9A9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404C30A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306058A2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D9F87F6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94AAC384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2A94D142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166470"/>
    <w:multiLevelType w:val="hybridMultilevel"/>
    <w:tmpl w:val="D6F4E564"/>
    <w:lvl w:ilvl="0" w:tplc="B094A77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D415A4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C20CCEA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 w:tplc="B32C2B4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D00A9B7E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CF14DCD2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6" w:tplc="23E8047A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 w:tplc="24369F98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8" w:tplc="1300538E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F95391E"/>
    <w:multiLevelType w:val="hybridMultilevel"/>
    <w:tmpl w:val="DFCEA0C8"/>
    <w:lvl w:ilvl="0" w:tplc="C4BC0D58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60FC00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332C84D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D8C81E4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A690554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A39AC50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F154AB2A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D5A6B89A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9F4002BC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79"/>
    <w:rsid w:val="0027227E"/>
    <w:rsid w:val="00501BF8"/>
    <w:rsid w:val="006E1E2F"/>
    <w:rsid w:val="00A95E7B"/>
    <w:rsid w:val="00C64543"/>
    <w:rsid w:val="00C72756"/>
    <w:rsid w:val="00DA1C79"/>
    <w:rsid w:val="00D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9FB8"/>
  <w15:docId w15:val="{0DD01B34-8102-4E5F-978F-684B637E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53"/>
      <w:ind w:left="112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501B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BF8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B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1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ohchr.org/en/treaty-bodies/cescr/rules-procedure-and-working-methods" TargetMode="External"/><Relationship Id="rId18" Type="http://schemas.openxmlformats.org/officeDocument/2006/relationships/hyperlink" Target="https://www.ourvoiceourrights.ie/assets/files/pdf/our_voice_our_rights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localhost/C:/Users/joycef01/AppData/Local/Microsoft/Windows/INetCache/Content.Outlook/DZE1ZNJX/cescr%40ohchr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ohchr.org/en/treaty-bodies/cescr/rules-procedure-and-working-methods" TargetMode="External"/><Relationship Id="rId17" Type="http://schemas.openxmlformats.org/officeDocument/2006/relationships/hyperlink" Target="https://www.ihrec.ie/app/uploads/2022/08/icescr_report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hrec.ie/app/uploads/2022/01/Ireland-and-the-International-Covenant-on-Economic-Social-and-Cultural-Rights.pdf" TargetMode="External"/><Relationship Id="rId20" Type="http://schemas.openxmlformats.org/officeDocument/2006/relationships/hyperlink" Target="mailto:ohchr-cescr@u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binternet.ohchr.org/_layouts/15/treatybodyexternal/SessionDetails1.aspx?SessionID=2613&amp;Lang=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hrec.ie/app/uploads/2022/01/Ireland-and-the-International-Covenant-on-Economic-Social-and-Cultural-Rights.pdf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escr@ohchr.org" TargetMode="External"/><Relationship Id="rId19" Type="http://schemas.openxmlformats.org/officeDocument/2006/relationships/hyperlink" Target="https://www.ourvoiceourrights.ie/assets/files/pdf/our_voice_our_righ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scrsubmissions.ohchr.org/Account/Login.aspx?ReturnUrl=%2f" TargetMode="External"/><Relationship Id="rId14" Type="http://schemas.openxmlformats.org/officeDocument/2006/relationships/hyperlink" Target="https://tbinternet.ohchr.org/_layouts/15/treatybodyexternal/Download.aspx?symbolno=E%2FC.12%2FIRL%2FQ%2F4&amp;Lang=en" TargetMode="External"/><Relationship Id="rId22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binternet.ohchr.org/_layouts/15/treatybodyexternal/SessionDetails1.aspx?SessionID=2613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Coyne (IHREC)</dc:creator>
  <cp:lastModifiedBy>Roisin Putti (IHREC)</cp:lastModifiedBy>
  <cp:revision>2</cp:revision>
  <dcterms:created xsi:type="dcterms:W3CDTF">2024-01-05T12:33:00Z</dcterms:created>
  <dcterms:modified xsi:type="dcterms:W3CDTF">2024-01-05T12:33:00Z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2016</vt:lpwstr>
  </property>
</Properties>
</file>