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B6D8" w14:textId="77777777" w:rsidR="004F6CB2" w:rsidRPr="004F6CB2" w:rsidRDefault="004F6CB2" w:rsidP="00A23302">
      <w:pPr>
        <w:pStyle w:val="Heading1"/>
        <w:rPr>
          <w:rFonts w:eastAsia="Times New Roman"/>
          <w:lang w:val="en-GB" w:eastAsia="en-GB"/>
        </w:rPr>
      </w:pPr>
      <w:r w:rsidRPr="004F6CB2">
        <w:rPr>
          <w:rFonts w:eastAsia="Times New Roman"/>
          <w:lang w:val="en-GB" w:eastAsia="en-GB"/>
        </w:rPr>
        <w:t>SUPREME COURT</w:t>
      </w:r>
    </w:p>
    <w:p w14:paraId="73F54512" w14:textId="77777777" w:rsidR="004F6CB2" w:rsidRPr="004A7B5E" w:rsidRDefault="004F6CB2" w:rsidP="00824073">
      <w:pPr>
        <w:spacing w:line="360" w:lineRule="auto"/>
        <w:jc w:val="center"/>
        <w:rPr>
          <w:rFonts w:ascii="Times New Roman" w:eastAsia="Times New Roman" w:hAnsi="Times New Roman" w:cs="Times New Roman"/>
          <w:b/>
          <w:bCs/>
          <w:lang w:val="en-GB" w:eastAsia="en-GB"/>
        </w:rPr>
      </w:pPr>
    </w:p>
    <w:p w14:paraId="2367C41E" w14:textId="77777777" w:rsidR="004F6CB2" w:rsidRDefault="004F6CB2" w:rsidP="00824073">
      <w:pPr>
        <w:spacing w:line="36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xml:space="preserve">RECORD NO. </w:t>
      </w:r>
      <w:proofErr w:type="gramStart"/>
      <w:r w:rsidRPr="00B47279">
        <w:rPr>
          <w:rFonts w:ascii="Times New Roman" w:eastAsia="Times New Roman" w:hAnsi="Times New Roman" w:cs="Times New Roman"/>
          <w:b/>
          <w:bCs/>
          <w:lang w:val="en-GB" w:eastAsia="en-GB"/>
        </w:rPr>
        <w:t>S:AP</w:t>
      </w:r>
      <w:proofErr w:type="gramEnd"/>
      <w:r w:rsidRPr="00B47279">
        <w:rPr>
          <w:rFonts w:ascii="Times New Roman" w:eastAsia="Times New Roman" w:hAnsi="Times New Roman" w:cs="Times New Roman"/>
          <w:b/>
          <w:bCs/>
          <w:lang w:val="en-GB" w:eastAsia="en-GB"/>
        </w:rPr>
        <w:t xml:space="preserve">: </w:t>
      </w:r>
      <w:proofErr w:type="gramStart"/>
      <w:r w:rsidRPr="00B47279">
        <w:rPr>
          <w:rFonts w:ascii="Times New Roman" w:eastAsia="Times New Roman" w:hAnsi="Times New Roman" w:cs="Times New Roman"/>
          <w:b/>
          <w:bCs/>
          <w:lang w:val="en-GB" w:eastAsia="en-GB"/>
        </w:rPr>
        <w:t>IE:2025:000131</w:t>
      </w:r>
      <w:proofErr w:type="gramEnd"/>
    </w:p>
    <w:p w14:paraId="5EDB810C" w14:textId="77777777" w:rsidR="004F6CB2" w:rsidRDefault="004F6CB2" w:rsidP="00824073">
      <w:pPr>
        <w:spacing w:line="360" w:lineRule="auto"/>
        <w:jc w:val="center"/>
        <w:rPr>
          <w:rFonts w:ascii="Times New Roman" w:eastAsia="Times New Roman" w:hAnsi="Times New Roman" w:cs="Times New Roman"/>
          <w:b/>
          <w:bCs/>
          <w:lang w:val="en-GB" w:eastAsia="en-GB"/>
        </w:rPr>
      </w:pPr>
    </w:p>
    <w:p w14:paraId="25F29482" w14:textId="77777777" w:rsidR="004F6CB2" w:rsidRDefault="004F6CB2" w:rsidP="00824073">
      <w:pPr>
        <w:spacing w:line="360" w:lineRule="auto"/>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BETWEEN:</w:t>
      </w:r>
    </w:p>
    <w:p w14:paraId="66380F53" w14:textId="77777777" w:rsidR="004F6CB2" w:rsidRDefault="004F6CB2" w:rsidP="00824073">
      <w:pP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xml:space="preserve">THE PEOPLE </w:t>
      </w:r>
    </w:p>
    <w:p w14:paraId="0FB0C3AA" w14:textId="77777777" w:rsidR="004F6CB2" w:rsidRDefault="004F6CB2" w:rsidP="00824073">
      <w:pP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(AT THE SUIT OF THE DIRECTOR OF PUBLIC PROSECUTIONS)</w:t>
      </w:r>
    </w:p>
    <w:p w14:paraId="0B4F0270" w14:textId="77777777" w:rsidR="004F6CB2" w:rsidRDefault="004F6CB2" w:rsidP="00824073">
      <w:pPr>
        <w:spacing w:line="36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RESPONDENT</w:t>
      </w:r>
    </w:p>
    <w:p w14:paraId="711D4692" w14:textId="77777777" w:rsidR="004F6CB2" w:rsidRDefault="004F6CB2" w:rsidP="00824073">
      <w:pPr>
        <w:spacing w:line="360" w:lineRule="auto"/>
        <w:jc w:val="center"/>
        <w:rPr>
          <w:rFonts w:ascii="Times New Roman" w:eastAsia="Times New Roman" w:hAnsi="Times New Roman" w:cs="Times New Roman"/>
          <w:b/>
          <w:bCs/>
          <w:lang w:val="en-GB" w:eastAsia="en-GB"/>
        </w:rPr>
      </w:pPr>
    </w:p>
    <w:p w14:paraId="0B293E9C" w14:textId="77777777" w:rsidR="004F6CB2" w:rsidRDefault="004F6CB2" w:rsidP="00824073">
      <w:pP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xml:space="preserve">-AND- </w:t>
      </w:r>
    </w:p>
    <w:p w14:paraId="4853ABFB" w14:textId="77777777" w:rsidR="004F6CB2" w:rsidRDefault="004F6CB2" w:rsidP="00824073">
      <w:pPr>
        <w:spacing w:line="360" w:lineRule="auto"/>
        <w:jc w:val="center"/>
        <w:rPr>
          <w:rFonts w:ascii="Times New Roman" w:eastAsia="Times New Roman" w:hAnsi="Times New Roman" w:cs="Times New Roman"/>
          <w:b/>
          <w:bCs/>
          <w:lang w:val="en-GB" w:eastAsia="en-GB"/>
        </w:rPr>
      </w:pPr>
    </w:p>
    <w:p w14:paraId="3A99BF7C" w14:textId="77777777" w:rsidR="004022A8" w:rsidRDefault="004022A8" w:rsidP="00824073">
      <w:pPr>
        <w:spacing w:line="360" w:lineRule="auto"/>
        <w:jc w:val="center"/>
        <w:rPr>
          <w:rFonts w:ascii="Times New Roman" w:eastAsia="Times New Roman" w:hAnsi="Times New Roman" w:cs="Times New Roman"/>
          <w:b/>
          <w:bCs/>
          <w:lang w:val="en-GB" w:eastAsia="en-GB"/>
        </w:rPr>
      </w:pPr>
    </w:p>
    <w:p w14:paraId="4CF996B2" w14:textId="77777777" w:rsidR="004F6CB2" w:rsidRDefault="004F6CB2" w:rsidP="00824073">
      <w:pP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 xml:space="preserve">DAN DOWLING </w:t>
      </w:r>
    </w:p>
    <w:p w14:paraId="1E1714B1" w14:textId="77777777" w:rsidR="004F6CB2" w:rsidRDefault="004F6CB2" w:rsidP="00824073">
      <w:pPr>
        <w:spacing w:line="36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APPELLANT</w:t>
      </w:r>
    </w:p>
    <w:p w14:paraId="12B6A68E" w14:textId="77777777" w:rsidR="004F6CB2" w:rsidRDefault="004F6CB2" w:rsidP="00824073">
      <w:pPr>
        <w:spacing w:line="360" w:lineRule="auto"/>
        <w:jc w:val="right"/>
        <w:rPr>
          <w:rFonts w:ascii="Times New Roman" w:eastAsia="Times New Roman" w:hAnsi="Times New Roman" w:cs="Times New Roman"/>
          <w:b/>
          <w:bCs/>
          <w:lang w:val="en-GB" w:eastAsia="en-GB"/>
        </w:rPr>
      </w:pPr>
    </w:p>
    <w:p w14:paraId="696E30A4" w14:textId="03F8808C" w:rsidR="004F6CB2" w:rsidRDefault="004F6CB2" w:rsidP="00824073">
      <w:pP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-AND-</w:t>
      </w:r>
    </w:p>
    <w:p w14:paraId="15BD433D" w14:textId="77777777" w:rsidR="004F6CB2" w:rsidRDefault="004F6CB2" w:rsidP="00824073">
      <w:pPr>
        <w:spacing w:line="360" w:lineRule="auto"/>
        <w:jc w:val="center"/>
        <w:rPr>
          <w:rFonts w:ascii="Times New Roman" w:eastAsia="Times New Roman" w:hAnsi="Times New Roman" w:cs="Times New Roman"/>
          <w:b/>
          <w:bCs/>
          <w:lang w:val="en-GB" w:eastAsia="en-GB"/>
        </w:rPr>
      </w:pPr>
    </w:p>
    <w:p w14:paraId="6311134B" w14:textId="77777777" w:rsidR="00234736" w:rsidRDefault="00234736" w:rsidP="00824073">
      <w:pPr>
        <w:spacing w:line="360" w:lineRule="auto"/>
        <w:jc w:val="center"/>
        <w:rPr>
          <w:rFonts w:ascii="Times New Roman" w:eastAsia="Times New Roman" w:hAnsi="Times New Roman" w:cs="Times New Roman"/>
          <w:b/>
          <w:bCs/>
          <w:lang w:val="en-GB" w:eastAsia="en-GB"/>
        </w:rPr>
      </w:pPr>
    </w:p>
    <w:p w14:paraId="4E9AC4F1" w14:textId="74002599" w:rsidR="004F6CB2" w:rsidRDefault="004F6CB2" w:rsidP="00824073">
      <w:pPr>
        <w:pBdr>
          <w:bottom w:val="single" w:sz="12" w:space="1" w:color="auto"/>
        </w:pBd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IRISH HUMAN RIGHTS AND EQUALITY COMMISSION</w:t>
      </w:r>
    </w:p>
    <w:p w14:paraId="7B67B9DB" w14:textId="0289204E" w:rsidR="004F6CB2" w:rsidRDefault="004F6CB2" w:rsidP="00824073">
      <w:pPr>
        <w:pBdr>
          <w:bottom w:val="single" w:sz="12" w:space="1" w:color="auto"/>
        </w:pBdr>
        <w:spacing w:line="360" w:lineRule="auto"/>
        <w:jc w:val="right"/>
        <w:rPr>
          <w:rFonts w:ascii="Times New Roman" w:eastAsia="Times New Roman" w:hAnsi="Times New Roman" w:cs="Times New Roman"/>
          <w:b/>
          <w:bCs/>
          <w:i/>
          <w:iCs/>
          <w:lang w:val="en-GB" w:eastAsia="en-GB"/>
        </w:rPr>
      </w:pPr>
      <w:r>
        <w:rPr>
          <w:rFonts w:ascii="Times New Roman" w:eastAsia="Times New Roman" w:hAnsi="Times New Roman" w:cs="Times New Roman"/>
          <w:b/>
          <w:bCs/>
          <w:i/>
          <w:iCs/>
          <w:lang w:val="en-GB" w:eastAsia="en-GB"/>
        </w:rPr>
        <w:t>AMICUS CURIAE</w:t>
      </w:r>
    </w:p>
    <w:p w14:paraId="648D33DB" w14:textId="77777777" w:rsidR="00400989" w:rsidRDefault="00400989" w:rsidP="00824073">
      <w:pPr>
        <w:pBdr>
          <w:bottom w:val="single" w:sz="12" w:space="1" w:color="auto"/>
        </w:pBdr>
        <w:spacing w:line="360" w:lineRule="auto"/>
        <w:jc w:val="center"/>
        <w:rPr>
          <w:rFonts w:ascii="Times New Roman" w:eastAsia="Times New Roman" w:hAnsi="Times New Roman" w:cs="Times New Roman"/>
          <w:b/>
          <w:bCs/>
          <w:lang w:val="en-GB" w:eastAsia="en-GB"/>
        </w:rPr>
      </w:pPr>
    </w:p>
    <w:p w14:paraId="35999C70" w14:textId="0D3FD2F8" w:rsidR="004F6CB2" w:rsidRDefault="004F6CB2" w:rsidP="00824073">
      <w:pPr>
        <w:pBdr>
          <w:bottom w:val="single" w:sz="12" w:space="1" w:color="auto"/>
        </w:pBd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-AND-</w:t>
      </w:r>
    </w:p>
    <w:p w14:paraId="277693D5" w14:textId="77777777" w:rsidR="004F6CB2" w:rsidRDefault="004F6CB2" w:rsidP="00824073">
      <w:pPr>
        <w:pBdr>
          <w:bottom w:val="single" w:sz="12" w:space="1" w:color="auto"/>
        </w:pBdr>
        <w:spacing w:line="360" w:lineRule="auto"/>
        <w:jc w:val="center"/>
        <w:rPr>
          <w:rFonts w:ascii="Times New Roman" w:eastAsia="Times New Roman" w:hAnsi="Times New Roman" w:cs="Times New Roman"/>
          <w:b/>
          <w:bCs/>
          <w:lang w:val="en-GB" w:eastAsia="en-GB"/>
        </w:rPr>
      </w:pPr>
    </w:p>
    <w:p w14:paraId="17449CAF" w14:textId="77777777" w:rsidR="00234736" w:rsidRDefault="00234736" w:rsidP="00824073">
      <w:pPr>
        <w:pBdr>
          <w:bottom w:val="single" w:sz="12" w:space="1" w:color="auto"/>
        </w:pBdr>
        <w:spacing w:line="360" w:lineRule="auto"/>
        <w:jc w:val="center"/>
        <w:rPr>
          <w:rFonts w:ascii="Times New Roman" w:eastAsia="Times New Roman" w:hAnsi="Times New Roman" w:cs="Times New Roman"/>
          <w:b/>
          <w:bCs/>
          <w:lang w:val="en-GB" w:eastAsia="en-GB"/>
        </w:rPr>
      </w:pPr>
    </w:p>
    <w:p w14:paraId="4EB97422" w14:textId="3858BE86" w:rsidR="004F6CB2" w:rsidRDefault="004F6CB2" w:rsidP="00824073">
      <w:pPr>
        <w:pBdr>
          <w:bottom w:val="single" w:sz="12" w:space="1" w:color="auto"/>
        </w:pBdr>
        <w:spacing w:line="36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THE ATTORNEY GENERAL</w:t>
      </w:r>
    </w:p>
    <w:p w14:paraId="5B3AB5A8" w14:textId="55C19DA5" w:rsidR="004F6CB2" w:rsidRPr="004F6CB2" w:rsidRDefault="004F6CB2" w:rsidP="00824073">
      <w:pPr>
        <w:pBdr>
          <w:bottom w:val="single" w:sz="12" w:space="1" w:color="auto"/>
        </w:pBdr>
        <w:spacing w:line="360" w:lineRule="auto"/>
        <w:jc w:val="right"/>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NOTICE PARTY</w:t>
      </w:r>
    </w:p>
    <w:p w14:paraId="4CA9AC71" w14:textId="77777777" w:rsidR="004F6CB2" w:rsidRDefault="004F6CB2" w:rsidP="00824073">
      <w:pPr>
        <w:pBdr>
          <w:bottom w:val="single" w:sz="12" w:space="1" w:color="auto"/>
        </w:pBdr>
        <w:spacing w:line="360" w:lineRule="auto"/>
        <w:jc w:val="right"/>
        <w:rPr>
          <w:rFonts w:ascii="Times New Roman" w:eastAsia="Times New Roman" w:hAnsi="Times New Roman" w:cs="Times New Roman"/>
          <w:b/>
          <w:bCs/>
          <w:lang w:val="en-GB" w:eastAsia="en-GB"/>
        </w:rPr>
      </w:pPr>
    </w:p>
    <w:p w14:paraId="254047CB" w14:textId="77777777" w:rsidR="004022A8" w:rsidRDefault="004022A8" w:rsidP="00824073">
      <w:pPr>
        <w:pBdr>
          <w:bottom w:val="single" w:sz="12" w:space="1" w:color="auto"/>
        </w:pBdr>
        <w:spacing w:line="360" w:lineRule="auto"/>
        <w:jc w:val="right"/>
        <w:rPr>
          <w:rFonts w:ascii="Times New Roman" w:eastAsia="Times New Roman" w:hAnsi="Times New Roman" w:cs="Times New Roman"/>
          <w:b/>
          <w:bCs/>
          <w:lang w:val="en-GB" w:eastAsia="en-GB"/>
        </w:rPr>
      </w:pPr>
    </w:p>
    <w:p w14:paraId="22822D0A" w14:textId="77777777" w:rsidR="004F6CB2" w:rsidRPr="004A7B5E" w:rsidRDefault="004F6CB2" w:rsidP="00824073">
      <w:pPr>
        <w:spacing w:line="360" w:lineRule="auto"/>
        <w:jc w:val="right"/>
        <w:rPr>
          <w:rFonts w:ascii="Times New Roman" w:eastAsia="Times New Roman" w:hAnsi="Times New Roman" w:cs="Times New Roman"/>
          <w:b/>
          <w:bCs/>
          <w:lang w:val="en-GB" w:eastAsia="en-GB"/>
        </w:rPr>
      </w:pPr>
    </w:p>
    <w:p w14:paraId="7706AA27" w14:textId="5D3698ED" w:rsidR="004F6CB2" w:rsidRPr="004F6CB2" w:rsidRDefault="004F6CB2" w:rsidP="00824073">
      <w:pPr>
        <w:pBdr>
          <w:bottom w:val="single" w:sz="12" w:space="1" w:color="auto"/>
        </w:pBdr>
        <w:spacing w:line="360" w:lineRule="auto"/>
        <w:jc w:val="center"/>
        <w:rPr>
          <w:rFonts w:ascii="Times New Roman" w:eastAsia="Times New Roman" w:hAnsi="Times New Roman" w:cs="Times New Roman"/>
          <w:b/>
          <w:bCs/>
          <w:i/>
          <w:iCs/>
          <w:lang w:val="en-GB" w:eastAsia="en-GB"/>
        </w:rPr>
      </w:pPr>
      <w:r>
        <w:rPr>
          <w:rFonts w:ascii="Times New Roman" w:eastAsia="Times New Roman" w:hAnsi="Times New Roman" w:cs="Times New Roman"/>
          <w:b/>
          <w:bCs/>
          <w:lang w:val="en-GB" w:eastAsia="en-GB"/>
        </w:rPr>
        <w:t>Legal Submissions on behalf of the Irish Human Rights and Equality Commission</w:t>
      </w:r>
    </w:p>
    <w:p w14:paraId="55BA8BFC" w14:textId="77777777" w:rsidR="004F6CB2" w:rsidRDefault="004F6CB2" w:rsidP="00824073">
      <w:pPr>
        <w:pBdr>
          <w:bottom w:val="single" w:sz="12" w:space="1" w:color="auto"/>
        </w:pBdr>
        <w:spacing w:line="360" w:lineRule="auto"/>
        <w:jc w:val="center"/>
        <w:rPr>
          <w:rFonts w:ascii="Times New Roman" w:eastAsia="Times New Roman" w:hAnsi="Times New Roman" w:cs="Times New Roman"/>
          <w:b/>
          <w:bCs/>
          <w:lang w:val="en-GB" w:eastAsia="en-GB"/>
        </w:rPr>
      </w:pPr>
    </w:p>
    <w:p w14:paraId="70991916" w14:textId="77777777" w:rsidR="004F6CB2" w:rsidRPr="00B47279" w:rsidRDefault="004F6CB2" w:rsidP="00824073">
      <w:pPr>
        <w:spacing w:line="360" w:lineRule="auto"/>
        <w:jc w:val="center"/>
        <w:rPr>
          <w:rFonts w:ascii="Times New Roman" w:eastAsia="Times New Roman" w:hAnsi="Times New Roman" w:cs="Times New Roman"/>
          <w:b/>
          <w:bCs/>
          <w:lang w:val="en-GB" w:eastAsia="en-GB"/>
        </w:rPr>
      </w:pPr>
    </w:p>
    <w:p w14:paraId="562B8B80" w14:textId="04B89157" w:rsidR="004F6CB2" w:rsidRPr="0092024A" w:rsidRDefault="00400989" w:rsidP="0092024A">
      <w:pPr>
        <w:pStyle w:val="Heading2"/>
        <w:rPr>
          <w:rFonts w:eastAsia="Times New Roman" w:cs="Times New Roman"/>
          <w:bCs/>
          <w:lang w:val="en-GB" w:eastAsia="en-GB"/>
        </w:rPr>
      </w:pPr>
      <w:r>
        <w:rPr>
          <w:rFonts w:eastAsia="Times New Roman" w:cs="Times New Roman"/>
          <w:bCs/>
          <w:lang w:val="en-GB" w:eastAsia="en-GB"/>
        </w:rPr>
        <w:br w:type="page"/>
      </w:r>
      <w:r w:rsidR="004F6CB2" w:rsidRPr="00400989">
        <w:rPr>
          <w:rFonts w:eastAsia="Times New Roman"/>
          <w:lang w:val="en-GB" w:eastAsia="en-GB"/>
        </w:rPr>
        <w:lastRenderedPageBreak/>
        <w:t xml:space="preserve">Introduction </w:t>
      </w:r>
    </w:p>
    <w:p w14:paraId="1E640D0D" w14:textId="77777777" w:rsidR="00A07A7C" w:rsidRDefault="004F6CB2" w:rsidP="004200FE">
      <w:pPr>
        <w:pStyle w:val="ListParagraph"/>
        <w:numPr>
          <w:ilvl w:val="0"/>
          <w:numId w:val="1"/>
        </w:numPr>
        <w:spacing w:before="240"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Irish Human Rights and Equality Commission</w:t>
      </w:r>
      <w:r w:rsidR="00400989">
        <w:rPr>
          <w:rFonts w:ascii="Times New Roman" w:eastAsia="Times New Roman" w:hAnsi="Times New Roman" w:cs="Times New Roman"/>
          <w:lang w:eastAsia="en-GB"/>
        </w:rPr>
        <w:t xml:space="preserve"> (‘the Commission’)</w:t>
      </w:r>
      <w:r>
        <w:rPr>
          <w:rFonts w:ascii="Times New Roman" w:eastAsia="Times New Roman" w:hAnsi="Times New Roman" w:cs="Times New Roman"/>
          <w:lang w:eastAsia="en-GB"/>
        </w:rPr>
        <w:t xml:space="preserve"> was granted liberty to intervene in th</w:t>
      </w:r>
      <w:r w:rsidR="00400989">
        <w:rPr>
          <w:rFonts w:ascii="Times New Roman" w:eastAsia="Times New Roman" w:hAnsi="Times New Roman" w:cs="Times New Roman"/>
          <w:lang w:eastAsia="en-GB"/>
        </w:rPr>
        <w:t>is</w:t>
      </w:r>
      <w:r>
        <w:rPr>
          <w:rFonts w:ascii="Times New Roman" w:eastAsia="Times New Roman" w:hAnsi="Times New Roman" w:cs="Times New Roman"/>
          <w:lang w:eastAsia="en-GB"/>
        </w:rPr>
        <w:t xml:space="preserve"> appeal as an </w:t>
      </w:r>
      <w:proofErr w:type="gramStart"/>
      <w:r>
        <w:rPr>
          <w:rFonts w:ascii="Times New Roman" w:eastAsia="Times New Roman" w:hAnsi="Times New Roman" w:cs="Times New Roman"/>
          <w:i/>
          <w:iCs/>
          <w:lang w:eastAsia="en-GB"/>
        </w:rPr>
        <w:t>amicus curiae</w:t>
      </w:r>
      <w:proofErr w:type="gramEnd"/>
      <w:r>
        <w:rPr>
          <w:rFonts w:ascii="Times New Roman" w:eastAsia="Times New Roman" w:hAnsi="Times New Roman" w:cs="Times New Roman"/>
          <w:lang w:eastAsia="en-GB"/>
        </w:rPr>
        <w:t xml:space="preserve"> on 26 March 2026.  </w:t>
      </w:r>
      <w:r w:rsidR="004E59CA">
        <w:rPr>
          <w:rFonts w:ascii="Times New Roman" w:eastAsia="Times New Roman" w:hAnsi="Times New Roman" w:cs="Times New Roman"/>
          <w:lang w:eastAsia="en-GB"/>
        </w:rPr>
        <w:t>The</w:t>
      </w:r>
      <w:r w:rsidR="00400989">
        <w:rPr>
          <w:rFonts w:ascii="Times New Roman" w:eastAsia="Times New Roman" w:hAnsi="Times New Roman" w:cs="Times New Roman"/>
          <w:lang w:eastAsia="en-GB"/>
        </w:rPr>
        <w:t>se s</w:t>
      </w:r>
      <w:r w:rsidR="00204ABB">
        <w:rPr>
          <w:rFonts w:ascii="Times New Roman" w:eastAsia="Times New Roman" w:hAnsi="Times New Roman" w:cs="Times New Roman"/>
          <w:lang w:eastAsia="en-GB"/>
        </w:rPr>
        <w:t>ubmissions are structured as follows:</w:t>
      </w:r>
    </w:p>
    <w:p w14:paraId="62E4CFF9" w14:textId="77777777" w:rsidR="00A07A7C" w:rsidRPr="004200FE" w:rsidRDefault="00A07A7C" w:rsidP="004200FE">
      <w:pPr>
        <w:spacing w:line="360" w:lineRule="auto"/>
        <w:jc w:val="both"/>
        <w:rPr>
          <w:rFonts w:ascii="Times New Roman" w:eastAsia="Times New Roman" w:hAnsi="Times New Roman" w:cs="Times New Roman"/>
          <w:lang w:eastAsia="en-GB"/>
        </w:rPr>
      </w:pPr>
    </w:p>
    <w:p w14:paraId="7BF95842" w14:textId="4565F1C4" w:rsidR="00A07A7C" w:rsidRPr="00A07A7C" w:rsidRDefault="00204ABB" w:rsidP="00824073">
      <w:pPr>
        <w:pStyle w:val="ListParagraph"/>
        <w:numPr>
          <w:ilvl w:val="2"/>
          <w:numId w:val="1"/>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 xml:space="preserve">Article 40.6.1 </w:t>
      </w:r>
      <w:r w:rsidR="00234736">
        <w:rPr>
          <w:rFonts w:ascii="Times New Roman" w:eastAsia="Times New Roman" w:hAnsi="Times New Roman" w:cs="Times New Roman"/>
          <w:lang w:eastAsia="en-GB"/>
        </w:rPr>
        <w:t xml:space="preserve">of the Constitution </w:t>
      </w:r>
      <w:r w:rsidRPr="00A07A7C">
        <w:rPr>
          <w:rFonts w:ascii="Times New Roman" w:eastAsia="Times New Roman" w:hAnsi="Times New Roman" w:cs="Times New Roman"/>
          <w:lang w:eastAsia="en-GB"/>
        </w:rPr>
        <w:t xml:space="preserve">and </w:t>
      </w:r>
      <w:r w:rsidR="00400989" w:rsidRPr="00A07A7C">
        <w:rPr>
          <w:rFonts w:ascii="Times New Roman" w:eastAsia="Times New Roman" w:hAnsi="Times New Roman" w:cs="Times New Roman"/>
          <w:lang w:eastAsia="en-GB"/>
        </w:rPr>
        <w:t>a</w:t>
      </w:r>
      <w:r w:rsidRPr="00A07A7C">
        <w:rPr>
          <w:rFonts w:ascii="Times New Roman" w:eastAsia="Times New Roman" w:hAnsi="Times New Roman" w:cs="Times New Roman"/>
          <w:lang w:eastAsia="en-GB"/>
        </w:rPr>
        <w:t xml:space="preserve">cts of </w:t>
      </w:r>
      <w:r w:rsidR="00400989" w:rsidRPr="00A07A7C">
        <w:rPr>
          <w:rFonts w:ascii="Times New Roman" w:eastAsia="Times New Roman" w:hAnsi="Times New Roman" w:cs="Times New Roman"/>
          <w:lang w:eastAsia="en-GB"/>
        </w:rPr>
        <w:t>p</w:t>
      </w:r>
      <w:r w:rsidRPr="00A07A7C">
        <w:rPr>
          <w:rFonts w:ascii="Times New Roman" w:eastAsia="Times New Roman" w:hAnsi="Times New Roman" w:cs="Times New Roman"/>
          <w:lang w:eastAsia="en-GB"/>
        </w:rPr>
        <w:t>rotest</w:t>
      </w:r>
    </w:p>
    <w:p w14:paraId="7BA025A9" w14:textId="00C202F5" w:rsidR="00A07A7C" w:rsidRDefault="00234736" w:rsidP="00824073">
      <w:pPr>
        <w:pStyle w:val="ListParagraph"/>
        <w:numPr>
          <w:ilvl w:val="2"/>
          <w:numId w:val="1"/>
        </w:num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w:t>
      </w:r>
      <w:r w:rsidR="001D70AB" w:rsidRPr="00A07A7C">
        <w:rPr>
          <w:rFonts w:ascii="Times New Roman" w:eastAsia="Times New Roman" w:hAnsi="Times New Roman" w:cs="Times New Roman"/>
          <w:lang w:eastAsia="en-GB"/>
        </w:rPr>
        <w:t xml:space="preserve">he </w:t>
      </w:r>
      <w:r w:rsidR="00400989" w:rsidRPr="00A07A7C">
        <w:rPr>
          <w:rFonts w:ascii="Times New Roman" w:eastAsia="Times New Roman" w:hAnsi="Times New Roman" w:cs="Times New Roman"/>
          <w:lang w:eastAsia="en-GB"/>
        </w:rPr>
        <w:t>c</w:t>
      </w:r>
      <w:r w:rsidR="001D70AB" w:rsidRPr="00A07A7C">
        <w:rPr>
          <w:rFonts w:ascii="Times New Roman" w:eastAsia="Times New Roman" w:hAnsi="Times New Roman" w:cs="Times New Roman"/>
          <w:lang w:eastAsia="en-GB"/>
        </w:rPr>
        <w:t xml:space="preserve">riminal </w:t>
      </w:r>
      <w:r w:rsidR="00400989" w:rsidRPr="00A07A7C">
        <w:rPr>
          <w:rFonts w:ascii="Times New Roman" w:eastAsia="Times New Roman" w:hAnsi="Times New Roman" w:cs="Times New Roman"/>
          <w:lang w:eastAsia="en-GB"/>
        </w:rPr>
        <w:t>l</w:t>
      </w:r>
      <w:r w:rsidR="001D70AB" w:rsidRPr="00A07A7C">
        <w:rPr>
          <w:rFonts w:ascii="Times New Roman" w:eastAsia="Times New Roman" w:hAnsi="Times New Roman" w:cs="Times New Roman"/>
          <w:lang w:eastAsia="en-GB"/>
        </w:rPr>
        <w:t xml:space="preserve">aw </w:t>
      </w:r>
      <w:r>
        <w:rPr>
          <w:rFonts w:ascii="Times New Roman" w:eastAsia="Times New Roman" w:hAnsi="Times New Roman" w:cs="Times New Roman"/>
          <w:lang w:eastAsia="en-GB"/>
        </w:rPr>
        <w:t xml:space="preserve">and acts of protest </w:t>
      </w:r>
      <w:r w:rsidR="001D70AB" w:rsidRPr="00A07A7C">
        <w:rPr>
          <w:rFonts w:ascii="Times New Roman" w:eastAsia="Times New Roman" w:hAnsi="Times New Roman" w:cs="Times New Roman"/>
          <w:lang w:eastAsia="en-GB"/>
        </w:rPr>
        <w:t xml:space="preserve">under </w:t>
      </w:r>
      <w:r w:rsidR="001C3F24" w:rsidRPr="00A07A7C">
        <w:rPr>
          <w:rFonts w:ascii="Times New Roman" w:eastAsia="Times New Roman" w:hAnsi="Times New Roman" w:cs="Times New Roman"/>
          <w:lang w:eastAsia="en-GB"/>
        </w:rPr>
        <w:t>Articles 10 and 11 of the European Convention on Human Rights</w:t>
      </w:r>
      <w:r w:rsidR="00400989" w:rsidRPr="00A07A7C">
        <w:rPr>
          <w:rFonts w:ascii="Times New Roman" w:eastAsia="Times New Roman" w:hAnsi="Times New Roman" w:cs="Times New Roman"/>
          <w:lang w:eastAsia="en-GB"/>
        </w:rPr>
        <w:t xml:space="preserve"> (‘the EHCR’)</w:t>
      </w:r>
    </w:p>
    <w:p w14:paraId="19BC581F" w14:textId="59D5D6D9" w:rsidR="001C3F24" w:rsidRPr="00A07A7C" w:rsidRDefault="00E711D7" w:rsidP="00824073">
      <w:pPr>
        <w:pStyle w:val="ListParagraph"/>
        <w:numPr>
          <w:ilvl w:val="2"/>
          <w:numId w:val="1"/>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Defining the parameters of t</w:t>
      </w:r>
      <w:r w:rsidR="001C3F24" w:rsidRPr="00A07A7C">
        <w:rPr>
          <w:rFonts w:ascii="Times New Roman" w:eastAsia="Times New Roman" w:hAnsi="Times New Roman" w:cs="Times New Roman"/>
          <w:lang w:eastAsia="en-GB"/>
        </w:rPr>
        <w:t xml:space="preserve">he </w:t>
      </w:r>
      <w:r w:rsidR="00E4582E" w:rsidRPr="00A07A7C">
        <w:rPr>
          <w:rFonts w:ascii="Times New Roman" w:eastAsia="Times New Roman" w:hAnsi="Times New Roman" w:cs="Times New Roman"/>
          <w:lang w:eastAsia="en-GB"/>
        </w:rPr>
        <w:t>defence</w:t>
      </w:r>
      <w:r w:rsidRPr="00A07A7C">
        <w:rPr>
          <w:rFonts w:ascii="Times New Roman" w:eastAsia="Times New Roman" w:hAnsi="Times New Roman" w:cs="Times New Roman"/>
          <w:lang w:eastAsia="en-GB"/>
        </w:rPr>
        <w:t xml:space="preserve"> of </w:t>
      </w:r>
      <w:r w:rsidR="00400989" w:rsidRPr="00A07A7C">
        <w:rPr>
          <w:rFonts w:ascii="Times New Roman" w:eastAsia="Times New Roman" w:hAnsi="Times New Roman" w:cs="Times New Roman"/>
          <w:lang w:eastAsia="en-GB"/>
        </w:rPr>
        <w:t>n</w:t>
      </w:r>
      <w:r w:rsidRPr="00A07A7C">
        <w:rPr>
          <w:rFonts w:ascii="Times New Roman" w:eastAsia="Times New Roman" w:hAnsi="Times New Roman" w:cs="Times New Roman"/>
          <w:lang w:eastAsia="en-GB"/>
        </w:rPr>
        <w:t>ecessity</w:t>
      </w:r>
    </w:p>
    <w:p w14:paraId="2E2A9853" w14:textId="74883396" w:rsidR="00A07A7C" w:rsidRPr="00A07A7C" w:rsidRDefault="00101A18" w:rsidP="00824073">
      <w:pPr>
        <w:pStyle w:val="ListParagraph"/>
        <w:numPr>
          <w:ilvl w:val="0"/>
          <w:numId w:val="8"/>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English case law – necessity and duress of circumstances</w:t>
      </w:r>
    </w:p>
    <w:p w14:paraId="013B4529" w14:textId="08B54BD3" w:rsidR="00101A18" w:rsidRDefault="00101A18" w:rsidP="00824073">
      <w:pPr>
        <w:pStyle w:val="ListParagraph"/>
        <w:numPr>
          <w:ilvl w:val="0"/>
          <w:numId w:val="8"/>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 xml:space="preserve">Necessity as excuse or </w:t>
      </w:r>
      <w:r w:rsidR="00831A1A" w:rsidRPr="00A07A7C">
        <w:rPr>
          <w:rFonts w:ascii="Times New Roman" w:eastAsia="Times New Roman" w:hAnsi="Times New Roman" w:cs="Times New Roman"/>
          <w:lang w:eastAsia="en-GB"/>
        </w:rPr>
        <w:t>justification</w:t>
      </w:r>
      <w:r w:rsidRPr="00A07A7C">
        <w:rPr>
          <w:rFonts w:ascii="Times New Roman" w:eastAsia="Times New Roman" w:hAnsi="Times New Roman" w:cs="Times New Roman"/>
          <w:lang w:eastAsia="en-GB"/>
        </w:rPr>
        <w:t>?</w:t>
      </w:r>
    </w:p>
    <w:p w14:paraId="139EC704" w14:textId="41008F86" w:rsidR="005348C9" w:rsidRPr="005348C9" w:rsidRDefault="005348C9" w:rsidP="005348C9">
      <w:pPr>
        <w:pStyle w:val="ListParagraph"/>
        <w:numPr>
          <w:ilvl w:val="0"/>
          <w:numId w:val="8"/>
        </w:numPr>
        <w:spacing w:line="360" w:lineRule="auto"/>
        <w:jc w:val="both"/>
        <w:rPr>
          <w:rFonts w:ascii="Times New Roman" w:hAnsi="Times New Roman" w:cs="Times New Roman"/>
        </w:rPr>
      </w:pPr>
      <w:r w:rsidRPr="005348C9">
        <w:rPr>
          <w:rFonts w:ascii="Times New Roman" w:eastAsia="Times New Roman" w:hAnsi="Times New Roman" w:cs="Times New Roman"/>
          <w:lang w:val="en-GB" w:eastAsia="en-GB"/>
        </w:rPr>
        <w:t xml:space="preserve">Necessity and </w:t>
      </w:r>
      <w:r w:rsidR="004022A8">
        <w:rPr>
          <w:rFonts w:ascii="Times New Roman" w:eastAsia="Times New Roman" w:hAnsi="Times New Roman" w:cs="Times New Roman"/>
          <w:lang w:val="en-GB" w:eastAsia="en-GB"/>
        </w:rPr>
        <w:t>a</w:t>
      </w:r>
      <w:r w:rsidRPr="005348C9">
        <w:rPr>
          <w:rFonts w:ascii="Times New Roman" w:eastAsia="Times New Roman" w:hAnsi="Times New Roman" w:cs="Times New Roman"/>
          <w:lang w:val="en-GB" w:eastAsia="en-GB"/>
        </w:rPr>
        <w:t xml:space="preserve">cts of </w:t>
      </w:r>
      <w:r w:rsidR="004022A8">
        <w:rPr>
          <w:rFonts w:ascii="Times New Roman" w:eastAsia="Times New Roman" w:hAnsi="Times New Roman" w:cs="Times New Roman"/>
          <w:lang w:val="en-GB" w:eastAsia="en-GB"/>
        </w:rPr>
        <w:t>p</w:t>
      </w:r>
      <w:r w:rsidRPr="005348C9">
        <w:rPr>
          <w:rFonts w:ascii="Times New Roman" w:eastAsia="Times New Roman" w:hAnsi="Times New Roman" w:cs="Times New Roman"/>
          <w:lang w:val="en-GB" w:eastAsia="en-GB"/>
        </w:rPr>
        <w:t>rotest in the United States and Canada</w:t>
      </w:r>
    </w:p>
    <w:p w14:paraId="0E25A5E1" w14:textId="77777777" w:rsidR="00A07A7C" w:rsidRDefault="00E711D7" w:rsidP="00824073">
      <w:pPr>
        <w:pStyle w:val="ListParagraph"/>
        <w:numPr>
          <w:ilvl w:val="2"/>
          <w:numId w:val="1"/>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Necessity, excuse and the offences of trespass and criminal damage</w:t>
      </w:r>
    </w:p>
    <w:p w14:paraId="475006F3" w14:textId="77777777" w:rsidR="00A07A7C" w:rsidRPr="00A07A7C" w:rsidRDefault="005B19D2" w:rsidP="00824073">
      <w:pPr>
        <w:pStyle w:val="ListParagraph"/>
        <w:numPr>
          <w:ilvl w:val="0"/>
          <w:numId w:val="10"/>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 xml:space="preserve">The </w:t>
      </w:r>
      <w:proofErr w:type="spellStart"/>
      <w:r w:rsidR="00196724" w:rsidRPr="00A07A7C">
        <w:rPr>
          <w:rFonts w:ascii="Times New Roman" w:hAnsi="Times New Roman" w:cs="Times New Roman"/>
          <w:i/>
          <w:iCs/>
        </w:rPr>
        <w:t>m</w:t>
      </w:r>
      <w:r w:rsidRPr="00A07A7C">
        <w:rPr>
          <w:rFonts w:ascii="Times New Roman" w:hAnsi="Times New Roman" w:cs="Times New Roman"/>
          <w:i/>
          <w:iCs/>
        </w:rPr>
        <w:t>ens</w:t>
      </w:r>
      <w:proofErr w:type="spellEnd"/>
      <w:r w:rsidRPr="00A07A7C">
        <w:rPr>
          <w:rFonts w:ascii="Times New Roman" w:hAnsi="Times New Roman" w:cs="Times New Roman"/>
          <w:i/>
          <w:iCs/>
        </w:rPr>
        <w:t xml:space="preserve"> rea </w:t>
      </w:r>
      <w:r w:rsidRPr="00A07A7C">
        <w:rPr>
          <w:rFonts w:ascii="Times New Roman" w:hAnsi="Times New Roman" w:cs="Times New Roman"/>
        </w:rPr>
        <w:t xml:space="preserve">of the </w:t>
      </w:r>
      <w:r w:rsidR="00400989" w:rsidRPr="00A07A7C">
        <w:rPr>
          <w:rFonts w:ascii="Times New Roman" w:hAnsi="Times New Roman" w:cs="Times New Roman"/>
        </w:rPr>
        <w:t>o</w:t>
      </w:r>
      <w:r w:rsidRPr="00A07A7C">
        <w:rPr>
          <w:rFonts w:ascii="Times New Roman" w:hAnsi="Times New Roman" w:cs="Times New Roman"/>
        </w:rPr>
        <w:t xml:space="preserve">ffence of </w:t>
      </w:r>
      <w:r w:rsidR="00400989" w:rsidRPr="00A07A7C">
        <w:rPr>
          <w:rFonts w:ascii="Times New Roman" w:hAnsi="Times New Roman" w:cs="Times New Roman"/>
        </w:rPr>
        <w:t>t</w:t>
      </w:r>
      <w:r w:rsidRPr="00A07A7C">
        <w:rPr>
          <w:rFonts w:ascii="Times New Roman" w:hAnsi="Times New Roman" w:cs="Times New Roman"/>
        </w:rPr>
        <w:t>respass and acts of protest or civil disobedience</w:t>
      </w:r>
    </w:p>
    <w:p w14:paraId="0B1661D2" w14:textId="77777777" w:rsidR="00A07A7C" w:rsidRDefault="00E711D7" w:rsidP="00824073">
      <w:pPr>
        <w:pStyle w:val="ListParagraph"/>
        <w:numPr>
          <w:ilvl w:val="0"/>
          <w:numId w:val="10"/>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 xml:space="preserve">The offence of </w:t>
      </w:r>
      <w:r w:rsidR="00400989" w:rsidRPr="00A07A7C">
        <w:rPr>
          <w:rFonts w:ascii="Times New Roman" w:eastAsia="Times New Roman" w:hAnsi="Times New Roman" w:cs="Times New Roman"/>
          <w:lang w:eastAsia="en-GB"/>
        </w:rPr>
        <w:t>c</w:t>
      </w:r>
      <w:r w:rsidRPr="00A07A7C">
        <w:rPr>
          <w:rFonts w:ascii="Times New Roman" w:eastAsia="Times New Roman" w:hAnsi="Times New Roman" w:cs="Times New Roman"/>
          <w:lang w:eastAsia="en-GB"/>
        </w:rPr>
        <w:t xml:space="preserve">riminal </w:t>
      </w:r>
      <w:r w:rsidR="00400989" w:rsidRPr="00A07A7C">
        <w:rPr>
          <w:rFonts w:ascii="Times New Roman" w:eastAsia="Times New Roman" w:hAnsi="Times New Roman" w:cs="Times New Roman"/>
          <w:lang w:eastAsia="en-GB"/>
        </w:rPr>
        <w:t>d</w:t>
      </w:r>
      <w:r w:rsidRPr="00A07A7C">
        <w:rPr>
          <w:rFonts w:ascii="Times New Roman" w:eastAsia="Times New Roman" w:hAnsi="Times New Roman" w:cs="Times New Roman"/>
          <w:lang w:eastAsia="en-GB"/>
        </w:rPr>
        <w:t xml:space="preserve">amage </w:t>
      </w:r>
      <w:proofErr w:type="gramStart"/>
      <w:r w:rsidRPr="00A07A7C">
        <w:rPr>
          <w:rFonts w:ascii="Times New Roman" w:eastAsia="Times New Roman" w:hAnsi="Times New Roman" w:cs="Times New Roman"/>
          <w:lang w:eastAsia="en-GB"/>
        </w:rPr>
        <w:t xml:space="preserve">and  </w:t>
      </w:r>
      <w:r w:rsidR="00400989" w:rsidRPr="00A07A7C">
        <w:rPr>
          <w:rFonts w:ascii="Times New Roman" w:eastAsia="Times New Roman" w:hAnsi="Times New Roman" w:cs="Times New Roman"/>
          <w:lang w:eastAsia="en-GB"/>
        </w:rPr>
        <w:t>‘</w:t>
      </w:r>
      <w:proofErr w:type="gramEnd"/>
      <w:r w:rsidR="00400989" w:rsidRPr="00A07A7C">
        <w:rPr>
          <w:rFonts w:ascii="Times New Roman" w:eastAsia="Times New Roman" w:hAnsi="Times New Roman" w:cs="Times New Roman"/>
          <w:lang w:eastAsia="en-GB"/>
        </w:rPr>
        <w:t>l</w:t>
      </w:r>
      <w:r w:rsidRPr="00A07A7C">
        <w:rPr>
          <w:rFonts w:ascii="Times New Roman" w:eastAsia="Times New Roman" w:hAnsi="Times New Roman" w:cs="Times New Roman"/>
          <w:lang w:eastAsia="en-GB"/>
        </w:rPr>
        <w:t>awful excuse</w:t>
      </w:r>
      <w:r w:rsidR="00400989" w:rsidRPr="00A07A7C">
        <w:rPr>
          <w:rFonts w:ascii="Times New Roman" w:eastAsia="Times New Roman" w:hAnsi="Times New Roman" w:cs="Times New Roman"/>
          <w:lang w:eastAsia="en-GB"/>
        </w:rPr>
        <w:t>’</w:t>
      </w:r>
    </w:p>
    <w:p w14:paraId="2393AFAA" w14:textId="62845DFB" w:rsidR="00E711D7" w:rsidRPr="00A07A7C" w:rsidRDefault="00E711D7" w:rsidP="00824073">
      <w:pPr>
        <w:pStyle w:val="ListParagraph"/>
        <w:numPr>
          <w:ilvl w:val="0"/>
          <w:numId w:val="10"/>
        </w:numPr>
        <w:spacing w:line="360" w:lineRule="auto"/>
        <w:jc w:val="both"/>
        <w:rPr>
          <w:rFonts w:ascii="Times New Roman" w:eastAsia="Times New Roman" w:hAnsi="Times New Roman" w:cs="Times New Roman"/>
          <w:lang w:eastAsia="en-GB"/>
        </w:rPr>
      </w:pPr>
      <w:r w:rsidRPr="00A07A7C">
        <w:rPr>
          <w:rFonts w:ascii="Times New Roman" w:eastAsia="Times New Roman" w:hAnsi="Times New Roman" w:cs="Times New Roman"/>
          <w:lang w:eastAsia="en-GB"/>
        </w:rPr>
        <w:t>Lawful excuse and necessity – overlapping factors for consideration</w:t>
      </w:r>
    </w:p>
    <w:p w14:paraId="4F6D1E78" w14:textId="2DF8126C" w:rsidR="00A63982" w:rsidRDefault="00A63982" w:rsidP="00824073">
      <w:pPr>
        <w:pStyle w:val="ListParagraph"/>
        <w:numPr>
          <w:ilvl w:val="2"/>
          <w:numId w:val="1"/>
        </w:numPr>
        <w:spacing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Replies to the Statement of Case</w:t>
      </w:r>
    </w:p>
    <w:p w14:paraId="3E5E00BD" w14:textId="7F1122B3" w:rsidR="00400989" w:rsidRPr="00A63982" w:rsidRDefault="0046281A" w:rsidP="00824073">
      <w:pPr>
        <w:pStyle w:val="ListParagraph"/>
        <w:numPr>
          <w:ilvl w:val="2"/>
          <w:numId w:val="1"/>
        </w:numPr>
        <w:spacing w:line="360" w:lineRule="auto"/>
        <w:jc w:val="both"/>
        <w:rPr>
          <w:rFonts w:ascii="Times New Roman" w:eastAsia="Times New Roman" w:hAnsi="Times New Roman" w:cs="Times New Roman"/>
          <w:lang w:val="en-GB" w:eastAsia="en-GB"/>
        </w:rPr>
      </w:pPr>
      <w:r w:rsidRPr="00A07A7C">
        <w:rPr>
          <w:rFonts w:ascii="Times New Roman" w:eastAsia="Times New Roman" w:hAnsi="Times New Roman" w:cs="Times New Roman"/>
          <w:lang w:eastAsia="en-GB"/>
        </w:rPr>
        <w:t>Conclusions</w:t>
      </w:r>
    </w:p>
    <w:p w14:paraId="45B1770E" w14:textId="69F4CB60" w:rsidR="00400989" w:rsidRPr="004200FE" w:rsidRDefault="004200FE" w:rsidP="004200FE">
      <w:pPr>
        <w:pStyle w:val="Heading2"/>
        <w:rPr>
          <w:rFonts w:eastAsia="Times New Roman"/>
          <w:lang w:val="en-GB" w:eastAsia="en-GB"/>
        </w:rPr>
      </w:pPr>
      <w:r>
        <w:rPr>
          <w:rFonts w:eastAsia="Times New Roman"/>
          <w:lang w:eastAsia="en-GB"/>
        </w:rPr>
        <w:t xml:space="preserve">A. </w:t>
      </w:r>
      <w:r w:rsidR="00DB532E" w:rsidRPr="00A07A7C">
        <w:rPr>
          <w:rFonts w:eastAsia="Times New Roman"/>
          <w:lang w:eastAsia="en-GB"/>
        </w:rPr>
        <w:t xml:space="preserve">Article 40.6.1 </w:t>
      </w:r>
      <w:r w:rsidR="00234736">
        <w:rPr>
          <w:rFonts w:eastAsia="Times New Roman"/>
          <w:lang w:eastAsia="en-GB"/>
        </w:rPr>
        <w:t xml:space="preserve">of the Constitution </w:t>
      </w:r>
      <w:r w:rsidR="00DB532E" w:rsidRPr="00A07A7C">
        <w:rPr>
          <w:rFonts w:eastAsia="Times New Roman"/>
          <w:lang w:eastAsia="en-GB"/>
        </w:rPr>
        <w:t xml:space="preserve">and </w:t>
      </w:r>
      <w:r w:rsidR="00400989" w:rsidRPr="00A07A7C">
        <w:rPr>
          <w:rFonts w:eastAsia="Times New Roman"/>
          <w:lang w:eastAsia="en-GB"/>
        </w:rPr>
        <w:t>a</w:t>
      </w:r>
      <w:r w:rsidR="00DB532E" w:rsidRPr="00A07A7C">
        <w:rPr>
          <w:rFonts w:eastAsia="Times New Roman"/>
          <w:lang w:eastAsia="en-GB"/>
        </w:rPr>
        <w:t xml:space="preserve">cts of </w:t>
      </w:r>
      <w:r w:rsidR="00400989" w:rsidRPr="00A07A7C">
        <w:rPr>
          <w:rFonts w:eastAsia="Times New Roman"/>
          <w:lang w:eastAsia="en-GB"/>
        </w:rPr>
        <w:t>p</w:t>
      </w:r>
      <w:r w:rsidR="00DB532E" w:rsidRPr="00A07A7C">
        <w:rPr>
          <w:rFonts w:eastAsia="Times New Roman"/>
          <w:lang w:eastAsia="en-GB"/>
        </w:rPr>
        <w:t>rotest</w:t>
      </w:r>
    </w:p>
    <w:p w14:paraId="576A7CEF" w14:textId="2D984A31" w:rsidR="00196724" w:rsidRPr="004200FE" w:rsidRDefault="005B039A" w:rsidP="004200FE">
      <w:pPr>
        <w:pStyle w:val="ListParagraph"/>
        <w:numPr>
          <w:ilvl w:val="0"/>
          <w:numId w:val="1"/>
        </w:numPr>
        <w:spacing w:before="240"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Article 40.6.1 of the Constitution of Ireland provides</w:t>
      </w:r>
      <w:r w:rsidR="00605B84">
        <w:rPr>
          <w:rFonts w:ascii="Times New Roman" w:hAnsi="Times New Roman" w:cs="Times New Roman"/>
        </w:rPr>
        <w:t xml:space="preserve"> for the </w:t>
      </w:r>
      <w:r w:rsidR="006A5111">
        <w:rPr>
          <w:rFonts w:ascii="Times New Roman" w:hAnsi="Times New Roman" w:cs="Times New Roman"/>
        </w:rPr>
        <w:t>freedoms of expression (40.6.</w:t>
      </w:r>
      <w:proofErr w:type="gramStart"/>
      <w:r w:rsidR="006A5111">
        <w:rPr>
          <w:rFonts w:ascii="Times New Roman" w:hAnsi="Times New Roman" w:cs="Times New Roman"/>
        </w:rPr>
        <w:t>1.i</w:t>
      </w:r>
      <w:proofErr w:type="gramEnd"/>
      <w:r w:rsidR="006A5111">
        <w:rPr>
          <w:rFonts w:ascii="Times New Roman" w:hAnsi="Times New Roman" w:cs="Times New Roman"/>
        </w:rPr>
        <w:t xml:space="preserve">), </w:t>
      </w:r>
      <w:r w:rsidR="009102DF">
        <w:rPr>
          <w:rFonts w:ascii="Times New Roman" w:hAnsi="Times New Roman" w:cs="Times New Roman"/>
        </w:rPr>
        <w:t>peaceful assembly (40.6.1.ii)</w:t>
      </w:r>
      <w:r w:rsidR="003B6D4B">
        <w:rPr>
          <w:rFonts w:ascii="Times New Roman" w:hAnsi="Times New Roman" w:cs="Times New Roman"/>
        </w:rPr>
        <w:t xml:space="preserve"> and association (40.6.1.iii). </w:t>
      </w:r>
      <w:r w:rsidRPr="003B6D4B">
        <w:rPr>
          <w:rFonts w:ascii="Times New Roman" w:hAnsi="Times New Roman" w:cs="Times New Roman"/>
        </w:rPr>
        <w:t>The Article 40.6.1 rights</w:t>
      </w:r>
      <w:r w:rsidR="00BE063A">
        <w:rPr>
          <w:rFonts w:ascii="Times New Roman" w:hAnsi="Times New Roman" w:cs="Times New Roman"/>
        </w:rPr>
        <w:t xml:space="preserve"> </w:t>
      </w:r>
      <w:r w:rsidRPr="003B6D4B">
        <w:rPr>
          <w:rFonts w:ascii="Times New Roman" w:hAnsi="Times New Roman" w:cs="Times New Roman"/>
        </w:rPr>
        <w:t xml:space="preserve">are </w:t>
      </w:r>
      <w:r w:rsidR="00BE063A">
        <w:rPr>
          <w:rFonts w:ascii="Times New Roman" w:hAnsi="Times New Roman" w:cs="Times New Roman"/>
        </w:rPr>
        <w:t xml:space="preserve">all </w:t>
      </w:r>
      <w:r w:rsidRPr="003B6D4B">
        <w:rPr>
          <w:rFonts w:ascii="Times New Roman" w:hAnsi="Times New Roman" w:cs="Times New Roman"/>
        </w:rPr>
        <w:t>subject to limitations of “</w:t>
      </w:r>
      <w:r w:rsidRPr="003B6D4B">
        <w:rPr>
          <w:rFonts w:ascii="Times New Roman" w:hAnsi="Times New Roman" w:cs="Times New Roman"/>
          <w:i/>
          <w:iCs/>
        </w:rPr>
        <w:t>public order and morality</w:t>
      </w:r>
      <w:r w:rsidRPr="003B6D4B">
        <w:rPr>
          <w:rFonts w:ascii="Times New Roman" w:hAnsi="Times New Roman" w:cs="Times New Roman"/>
        </w:rPr>
        <w:t xml:space="preserve">”. </w:t>
      </w:r>
      <w:r w:rsidR="00196724" w:rsidRPr="003B6D4B">
        <w:rPr>
          <w:rFonts w:ascii="Times New Roman" w:hAnsi="Times New Roman" w:cs="Times New Roman"/>
        </w:rPr>
        <w:t xml:space="preserve">These </w:t>
      </w:r>
      <w:r w:rsidR="004022A8">
        <w:rPr>
          <w:rFonts w:ascii="Times New Roman" w:hAnsi="Times New Roman" w:cs="Times New Roman"/>
        </w:rPr>
        <w:t>should</w:t>
      </w:r>
      <w:r w:rsidR="00196724" w:rsidRPr="003B6D4B">
        <w:rPr>
          <w:rFonts w:ascii="Times New Roman" w:hAnsi="Times New Roman" w:cs="Times New Roman"/>
        </w:rPr>
        <w:t xml:space="preserve"> not be over</w:t>
      </w:r>
      <w:r w:rsidR="00234736">
        <w:rPr>
          <w:rFonts w:ascii="Times New Roman" w:hAnsi="Times New Roman" w:cs="Times New Roman"/>
        </w:rPr>
        <w:t xml:space="preserve">ly </w:t>
      </w:r>
      <w:r w:rsidR="00196724" w:rsidRPr="003B6D4B">
        <w:rPr>
          <w:rFonts w:ascii="Times New Roman" w:hAnsi="Times New Roman" w:cs="Times New Roman"/>
        </w:rPr>
        <w:t xml:space="preserve">restrictive as they must be applied in accordance with the </w:t>
      </w:r>
      <w:r w:rsidRPr="003B6D4B">
        <w:rPr>
          <w:rFonts w:ascii="Times New Roman" w:hAnsi="Times New Roman" w:cs="Times New Roman"/>
        </w:rPr>
        <w:t>State’s commitment to democracy under Article 5</w:t>
      </w:r>
      <w:r w:rsidR="004022A8">
        <w:rPr>
          <w:rFonts w:ascii="Times New Roman" w:hAnsi="Times New Roman" w:cs="Times New Roman"/>
        </w:rPr>
        <w:t xml:space="preserve"> of the Constitution</w:t>
      </w:r>
      <w:r w:rsidRPr="003B6D4B">
        <w:rPr>
          <w:rFonts w:ascii="Times New Roman" w:hAnsi="Times New Roman" w:cs="Times New Roman"/>
        </w:rPr>
        <w:t xml:space="preserve">, as this Court has recently noted in </w:t>
      </w:r>
      <w:r w:rsidRPr="003B6D4B">
        <w:rPr>
          <w:rFonts w:ascii="Times New Roman" w:hAnsi="Times New Roman" w:cs="Times New Roman"/>
          <w:b/>
          <w:bCs/>
          <w:i/>
          <w:iCs/>
        </w:rPr>
        <w:t>Emmett Corcoran and Oncor Ventures Ltd t/a The Democrat v</w:t>
      </w:r>
      <w:r w:rsidR="00400989" w:rsidRPr="003B6D4B">
        <w:rPr>
          <w:rFonts w:ascii="Times New Roman" w:hAnsi="Times New Roman" w:cs="Times New Roman"/>
          <w:b/>
          <w:bCs/>
          <w:i/>
          <w:iCs/>
        </w:rPr>
        <w:t>.</w:t>
      </w:r>
      <w:r w:rsidRPr="003B6D4B">
        <w:rPr>
          <w:rFonts w:ascii="Times New Roman" w:hAnsi="Times New Roman" w:cs="Times New Roman"/>
          <w:b/>
          <w:bCs/>
          <w:i/>
          <w:iCs/>
        </w:rPr>
        <w:t xml:space="preserve"> The Commissioner of </w:t>
      </w:r>
      <w:proofErr w:type="gramStart"/>
      <w:r w:rsidRPr="003B6D4B">
        <w:rPr>
          <w:rFonts w:ascii="Times New Roman" w:hAnsi="Times New Roman" w:cs="Times New Roman"/>
          <w:b/>
          <w:bCs/>
          <w:i/>
          <w:iCs/>
        </w:rPr>
        <w:t>an</w:t>
      </w:r>
      <w:proofErr w:type="gramEnd"/>
      <w:r w:rsidRPr="003B6D4B">
        <w:rPr>
          <w:rFonts w:ascii="Times New Roman" w:hAnsi="Times New Roman" w:cs="Times New Roman"/>
          <w:b/>
          <w:bCs/>
          <w:i/>
          <w:iCs/>
        </w:rPr>
        <w:t xml:space="preserve"> Garda Síochána and the DPP </w:t>
      </w:r>
      <w:r w:rsidRPr="003B6D4B">
        <w:rPr>
          <w:rFonts w:ascii="Times New Roman" w:hAnsi="Times New Roman" w:cs="Times New Roman"/>
        </w:rPr>
        <w:t>[2024] 3 I</w:t>
      </w:r>
      <w:r w:rsidR="00400989" w:rsidRPr="003B6D4B">
        <w:rPr>
          <w:rFonts w:ascii="Times New Roman" w:hAnsi="Times New Roman" w:cs="Times New Roman"/>
        </w:rPr>
        <w:t>.</w:t>
      </w:r>
      <w:r w:rsidRPr="003B6D4B">
        <w:rPr>
          <w:rFonts w:ascii="Times New Roman" w:hAnsi="Times New Roman" w:cs="Times New Roman"/>
        </w:rPr>
        <w:t>R</w:t>
      </w:r>
      <w:r w:rsidR="00400989" w:rsidRPr="003B6D4B">
        <w:rPr>
          <w:rFonts w:ascii="Times New Roman" w:hAnsi="Times New Roman" w:cs="Times New Roman"/>
        </w:rPr>
        <w:t>.</w:t>
      </w:r>
      <w:r w:rsidRPr="003B6D4B">
        <w:rPr>
          <w:rFonts w:ascii="Times New Roman" w:hAnsi="Times New Roman" w:cs="Times New Roman"/>
        </w:rPr>
        <w:t xml:space="preserve"> 464</w:t>
      </w:r>
      <w:r w:rsidR="00196724" w:rsidRPr="003B6D4B">
        <w:rPr>
          <w:rFonts w:ascii="Times New Roman" w:hAnsi="Times New Roman" w:cs="Times New Roman"/>
        </w:rPr>
        <w:t xml:space="preserve"> (‘</w:t>
      </w:r>
      <w:r w:rsidR="00196724" w:rsidRPr="003B6D4B">
        <w:rPr>
          <w:rFonts w:ascii="Times New Roman" w:hAnsi="Times New Roman" w:cs="Times New Roman"/>
          <w:b/>
          <w:bCs/>
          <w:i/>
          <w:iCs/>
        </w:rPr>
        <w:t>Corcoran</w:t>
      </w:r>
      <w:r w:rsidR="00196724" w:rsidRPr="003B6D4B">
        <w:rPr>
          <w:rFonts w:ascii="Times New Roman" w:hAnsi="Times New Roman" w:cs="Times New Roman"/>
        </w:rPr>
        <w:t>’)</w:t>
      </w:r>
      <w:r w:rsidR="002642AA">
        <w:rPr>
          <w:rFonts w:ascii="Times New Roman" w:hAnsi="Times New Roman" w:cs="Times New Roman"/>
        </w:rPr>
        <w:t>.</w:t>
      </w:r>
    </w:p>
    <w:p w14:paraId="08539FB2" w14:textId="022BEC47" w:rsidR="00400989" w:rsidRPr="00196724" w:rsidRDefault="00196724" w:rsidP="00824073">
      <w:pPr>
        <w:pStyle w:val="ListParagraph"/>
        <w:numPr>
          <w:ilvl w:val="0"/>
          <w:numId w:val="1"/>
        </w:numPr>
        <w:spacing w:line="360" w:lineRule="auto"/>
        <w:jc w:val="both"/>
        <w:rPr>
          <w:rFonts w:ascii="Times New Roman" w:eastAsia="Times New Roman" w:hAnsi="Times New Roman" w:cs="Times New Roman"/>
          <w:lang w:val="en-GB" w:eastAsia="en-GB"/>
        </w:rPr>
      </w:pPr>
      <w:r>
        <w:rPr>
          <w:rFonts w:ascii="Times New Roman" w:hAnsi="Times New Roman" w:cs="Times New Roman"/>
        </w:rPr>
        <w:lastRenderedPageBreak/>
        <w:t>T</w:t>
      </w:r>
      <w:r w:rsidR="008B4581" w:rsidRPr="00196724">
        <w:rPr>
          <w:rFonts w:ascii="Times New Roman" w:hAnsi="Times New Roman" w:cs="Times New Roman"/>
        </w:rPr>
        <w:t>he</w:t>
      </w:r>
      <w:r w:rsidR="005B039A" w:rsidRPr="00196724">
        <w:rPr>
          <w:rFonts w:ascii="Times New Roman" w:hAnsi="Times New Roman" w:cs="Times New Roman"/>
        </w:rPr>
        <w:t xml:space="preserve"> jurisprudence of the Superior Courts is acknowledged to have </w:t>
      </w:r>
      <w:proofErr w:type="gramStart"/>
      <w:r w:rsidR="005B039A" w:rsidRPr="00196724">
        <w:rPr>
          <w:rFonts w:ascii="Times New Roman" w:hAnsi="Times New Roman" w:cs="Times New Roman"/>
        </w:rPr>
        <w:t>been  underdeveloped</w:t>
      </w:r>
      <w:proofErr w:type="gramEnd"/>
      <w:r w:rsidR="005B039A" w:rsidRPr="00196724">
        <w:rPr>
          <w:rFonts w:ascii="Times New Roman" w:hAnsi="Times New Roman" w:cs="Times New Roman"/>
        </w:rPr>
        <w:t xml:space="preserve"> regarding Article 40.6.1</w:t>
      </w:r>
      <w:r w:rsidR="008B4581" w:rsidRPr="00196724">
        <w:rPr>
          <w:rFonts w:ascii="Times New Roman" w:hAnsi="Times New Roman" w:cs="Times New Roman"/>
        </w:rPr>
        <w:t>,</w:t>
      </w:r>
      <w:r w:rsidR="005B039A" w:rsidRPr="00AD669A">
        <w:rPr>
          <w:rStyle w:val="FootnoteReference"/>
          <w:rFonts w:ascii="Times New Roman" w:hAnsi="Times New Roman" w:cs="Times New Roman"/>
        </w:rPr>
        <w:footnoteReference w:id="1"/>
      </w:r>
      <w:r w:rsidR="008B4581" w:rsidRPr="00196724">
        <w:rPr>
          <w:rFonts w:ascii="Times New Roman" w:hAnsi="Times New Roman" w:cs="Times New Roman"/>
        </w:rPr>
        <w:t xml:space="preserve"> </w:t>
      </w:r>
      <w:r>
        <w:rPr>
          <w:rFonts w:ascii="Times New Roman" w:hAnsi="Times New Roman" w:cs="Times New Roman"/>
        </w:rPr>
        <w:t>particularly</w:t>
      </w:r>
      <w:r w:rsidR="005B039A" w:rsidRPr="00196724">
        <w:rPr>
          <w:rFonts w:ascii="Times New Roman" w:hAnsi="Times New Roman" w:cs="Times New Roman"/>
        </w:rPr>
        <w:t xml:space="preserve"> when compared with the jurisprudence of the European Court of Human Rights</w:t>
      </w:r>
      <w:r>
        <w:rPr>
          <w:rFonts w:ascii="Times New Roman" w:hAnsi="Times New Roman" w:cs="Times New Roman"/>
        </w:rPr>
        <w:t xml:space="preserve"> (‘ECtHR’)</w:t>
      </w:r>
      <w:r w:rsidR="005B039A" w:rsidRPr="00196724">
        <w:rPr>
          <w:rFonts w:ascii="Times New Roman" w:hAnsi="Times New Roman" w:cs="Times New Roman"/>
        </w:rPr>
        <w:t>, considered below</w:t>
      </w:r>
      <w:r>
        <w:rPr>
          <w:rFonts w:ascii="Times New Roman" w:hAnsi="Times New Roman" w:cs="Times New Roman"/>
        </w:rPr>
        <w:t>.</w:t>
      </w:r>
      <w:r w:rsidR="005B039A" w:rsidRPr="00AD669A">
        <w:rPr>
          <w:rStyle w:val="FootnoteReference"/>
          <w:rFonts w:ascii="Times New Roman" w:hAnsi="Times New Roman" w:cs="Times New Roman"/>
        </w:rPr>
        <w:footnoteReference w:id="2"/>
      </w:r>
      <w:r w:rsidR="008B4581" w:rsidRPr="00196724">
        <w:rPr>
          <w:rFonts w:ascii="Times New Roman" w:hAnsi="Times New Roman" w:cs="Times New Roman"/>
        </w:rPr>
        <w:t xml:space="preserve"> </w:t>
      </w:r>
      <w:r>
        <w:rPr>
          <w:rFonts w:ascii="Times New Roman" w:hAnsi="Times New Roman" w:cs="Times New Roman"/>
        </w:rPr>
        <w:t xml:space="preserve">This appeal presents an </w:t>
      </w:r>
      <w:r w:rsidR="00FE63AD" w:rsidRPr="00196724">
        <w:rPr>
          <w:rFonts w:ascii="Times New Roman" w:hAnsi="Times New Roman" w:cs="Times New Roman"/>
        </w:rPr>
        <w:t>opportunity for the rights to be considered as they arise outside of the context of the media (</w:t>
      </w:r>
      <w:r w:rsidR="00234736">
        <w:rPr>
          <w:rFonts w:ascii="Times New Roman" w:hAnsi="Times New Roman" w:cs="Times New Roman"/>
        </w:rPr>
        <w:t>in contrast to</w:t>
      </w:r>
      <w:r w:rsidR="00FE63AD" w:rsidRPr="00196724">
        <w:rPr>
          <w:rFonts w:ascii="Times New Roman" w:hAnsi="Times New Roman" w:cs="Times New Roman"/>
        </w:rPr>
        <w:t xml:space="preserve"> </w:t>
      </w:r>
      <w:r w:rsidR="00FE63AD" w:rsidRPr="00196724">
        <w:rPr>
          <w:rFonts w:ascii="Times New Roman" w:hAnsi="Times New Roman" w:cs="Times New Roman"/>
          <w:b/>
          <w:bCs/>
          <w:i/>
          <w:iCs/>
        </w:rPr>
        <w:t>Corcoran</w:t>
      </w:r>
      <w:r w:rsidR="00FE63AD" w:rsidRPr="00196724">
        <w:rPr>
          <w:rFonts w:ascii="Times New Roman" w:hAnsi="Times New Roman" w:cs="Times New Roman"/>
        </w:rPr>
        <w:t xml:space="preserve">). </w:t>
      </w:r>
    </w:p>
    <w:p w14:paraId="3882840D" w14:textId="77777777" w:rsidR="00400989" w:rsidRPr="00400989" w:rsidRDefault="00400989" w:rsidP="00824073">
      <w:pPr>
        <w:pStyle w:val="ListParagraph"/>
        <w:spacing w:line="360" w:lineRule="auto"/>
        <w:jc w:val="both"/>
        <w:rPr>
          <w:rFonts w:ascii="Times New Roman" w:eastAsia="Times New Roman" w:hAnsi="Times New Roman" w:cs="Times New Roman"/>
          <w:lang w:val="en-GB" w:eastAsia="en-GB"/>
        </w:rPr>
      </w:pPr>
    </w:p>
    <w:p w14:paraId="47C647F2" w14:textId="52F12603" w:rsidR="00400989" w:rsidRPr="00400989" w:rsidRDefault="004A13FC" w:rsidP="00824073">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The relevance of the Article 40.6.1 rights to the State’s commitment to democracy</w:t>
      </w:r>
      <w:r w:rsidR="001976A7" w:rsidRPr="00400989">
        <w:rPr>
          <w:rFonts w:ascii="Times New Roman" w:hAnsi="Times New Roman" w:cs="Times New Roman"/>
        </w:rPr>
        <w:t xml:space="preserve"> is </w:t>
      </w:r>
      <w:r w:rsidR="00196724">
        <w:rPr>
          <w:rFonts w:ascii="Times New Roman" w:hAnsi="Times New Roman" w:cs="Times New Roman"/>
        </w:rPr>
        <w:t>important</w:t>
      </w:r>
      <w:r w:rsidR="001976A7" w:rsidRPr="00400989">
        <w:rPr>
          <w:rFonts w:ascii="Times New Roman" w:hAnsi="Times New Roman" w:cs="Times New Roman"/>
        </w:rPr>
        <w:t>. As Barrington J</w:t>
      </w:r>
      <w:r w:rsidR="00400989">
        <w:rPr>
          <w:rFonts w:ascii="Times New Roman" w:hAnsi="Times New Roman" w:cs="Times New Roman"/>
        </w:rPr>
        <w:t>.</w:t>
      </w:r>
      <w:r w:rsidR="001976A7" w:rsidRPr="00400989">
        <w:rPr>
          <w:rFonts w:ascii="Times New Roman" w:hAnsi="Times New Roman" w:cs="Times New Roman"/>
        </w:rPr>
        <w:t xml:space="preserve"> noted in </w:t>
      </w:r>
      <w:r w:rsidR="001976A7" w:rsidRPr="00400989">
        <w:rPr>
          <w:rFonts w:ascii="Times New Roman" w:hAnsi="Times New Roman" w:cs="Times New Roman"/>
          <w:b/>
          <w:bCs/>
          <w:i/>
          <w:iCs/>
        </w:rPr>
        <w:t>Irish Times Ltd</w:t>
      </w:r>
      <w:r w:rsidR="00196724">
        <w:rPr>
          <w:rFonts w:ascii="Times New Roman" w:hAnsi="Times New Roman" w:cs="Times New Roman"/>
          <w:b/>
          <w:bCs/>
          <w:i/>
          <w:iCs/>
        </w:rPr>
        <w:t>.</w:t>
      </w:r>
      <w:r w:rsidR="001976A7" w:rsidRPr="00400989">
        <w:rPr>
          <w:rFonts w:ascii="Times New Roman" w:hAnsi="Times New Roman" w:cs="Times New Roman"/>
          <w:b/>
          <w:bCs/>
          <w:i/>
          <w:iCs/>
        </w:rPr>
        <w:t xml:space="preserve"> v</w:t>
      </w:r>
      <w:r w:rsidR="00196724">
        <w:rPr>
          <w:rFonts w:ascii="Times New Roman" w:hAnsi="Times New Roman" w:cs="Times New Roman"/>
          <w:b/>
          <w:bCs/>
          <w:i/>
          <w:iCs/>
        </w:rPr>
        <w:t>.</w:t>
      </w:r>
      <w:r w:rsidR="001976A7" w:rsidRPr="00400989">
        <w:rPr>
          <w:rFonts w:ascii="Times New Roman" w:hAnsi="Times New Roman" w:cs="Times New Roman"/>
          <w:b/>
          <w:bCs/>
          <w:i/>
          <w:iCs/>
        </w:rPr>
        <w:t xml:space="preserve"> Ireland</w:t>
      </w:r>
      <w:r w:rsidR="001976A7" w:rsidRPr="00400989">
        <w:rPr>
          <w:rFonts w:ascii="Times New Roman" w:hAnsi="Times New Roman" w:cs="Times New Roman"/>
          <w:b/>
          <w:bCs/>
        </w:rPr>
        <w:t xml:space="preserve"> </w:t>
      </w:r>
      <w:r w:rsidR="001976A7" w:rsidRPr="00400989">
        <w:rPr>
          <w:rFonts w:ascii="Times New Roman" w:hAnsi="Times New Roman" w:cs="Times New Roman"/>
        </w:rPr>
        <w:t>[1998] 1 I</w:t>
      </w:r>
      <w:r w:rsidR="00400989">
        <w:rPr>
          <w:rFonts w:ascii="Times New Roman" w:hAnsi="Times New Roman" w:cs="Times New Roman"/>
        </w:rPr>
        <w:t>.</w:t>
      </w:r>
      <w:r w:rsidR="001976A7" w:rsidRPr="00400989">
        <w:rPr>
          <w:rFonts w:ascii="Times New Roman" w:hAnsi="Times New Roman" w:cs="Times New Roman"/>
        </w:rPr>
        <w:t>R</w:t>
      </w:r>
      <w:r w:rsidR="00400989">
        <w:rPr>
          <w:rFonts w:ascii="Times New Roman" w:hAnsi="Times New Roman" w:cs="Times New Roman"/>
        </w:rPr>
        <w:t>.</w:t>
      </w:r>
      <w:r w:rsidR="001976A7" w:rsidRPr="00400989">
        <w:rPr>
          <w:rFonts w:ascii="Times New Roman" w:hAnsi="Times New Roman" w:cs="Times New Roman"/>
        </w:rPr>
        <w:t xml:space="preserve"> 359:</w:t>
      </w:r>
    </w:p>
    <w:p w14:paraId="1CC2F199" w14:textId="77777777" w:rsidR="00400989" w:rsidRPr="00400989" w:rsidRDefault="00400989" w:rsidP="00824073">
      <w:pPr>
        <w:pStyle w:val="ListParagraph"/>
        <w:spacing w:line="360" w:lineRule="auto"/>
        <w:rPr>
          <w:rFonts w:ascii="Times New Roman" w:hAnsi="Times New Roman" w:cs="Times New Roman"/>
          <w:i/>
          <w:iCs/>
        </w:rPr>
      </w:pPr>
    </w:p>
    <w:p w14:paraId="126910ED" w14:textId="796D8FB1" w:rsidR="00400989" w:rsidRPr="004022A8" w:rsidRDefault="001976A7" w:rsidP="004022A8">
      <w:pPr>
        <w:pStyle w:val="ListParagraph"/>
        <w:spacing w:line="360" w:lineRule="auto"/>
        <w:jc w:val="both"/>
        <w:rPr>
          <w:rFonts w:ascii="Times New Roman" w:hAnsi="Times New Roman" w:cs="Times New Roman"/>
        </w:rPr>
      </w:pPr>
      <w:r w:rsidRPr="00400989">
        <w:rPr>
          <w:rFonts w:ascii="Times New Roman" w:hAnsi="Times New Roman" w:cs="Times New Roman"/>
          <w:i/>
          <w:iCs/>
        </w:rPr>
        <w:t xml:space="preserve">“Article 40.6.1° deals with three rights, the right of the citizens to express freely their convictions and opinions, the right of the citizens to assemble peaceably and without arms and the right of the citizens to form associations and unions. All of these relate to the public activities of the citizens and to the practical workings of a democratic society. They are part of the dynamics of political change. They are at once both vitally important to the success of a democracy and potentially a source of political instability. That is why the Constitution and the European Convention both assert and circumscribe them. That is also why </w:t>
      </w:r>
      <w:r w:rsidRPr="004022A8">
        <w:rPr>
          <w:rFonts w:ascii="Times New Roman" w:hAnsi="Times New Roman" w:cs="Times New Roman"/>
          <w:i/>
          <w:iCs/>
          <w:u w:val="single"/>
        </w:rPr>
        <w:t>it is so important to get the balance right in interpreting them</w:t>
      </w:r>
      <w:r w:rsidR="00E97507">
        <w:rPr>
          <w:rFonts w:ascii="Times New Roman" w:hAnsi="Times New Roman" w:cs="Times New Roman"/>
          <w:i/>
          <w:iCs/>
        </w:rPr>
        <w:t>.</w:t>
      </w:r>
      <w:r w:rsidR="004022A8">
        <w:rPr>
          <w:rFonts w:ascii="Times New Roman" w:hAnsi="Times New Roman" w:cs="Times New Roman"/>
          <w:i/>
          <w:iCs/>
        </w:rPr>
        <w:t xml:space="preserve">” </w:t>
      </w:r>
      <w:r w:rsidR="004022A8">
        <w:rPr>
          <w:rFonts w:ascii="Times New Roman" w:hAnsi="Times New Roman" w:cs="Times New Roman"/>
        </w:rPr>
        <w:t>[Emphasis added]</w:t>
      </w:r>
    </w:p>
    <w:p w14:paraId="53DF5CE1" w14:textId="77777777" w:rsidR="00400989" w:rsidRDefault="00400989" w:rsidP="00824073">
      <w:pPr>
        <w:spacing w:line="360" w:lineRule="auto"/>
        <w:jc w:val="both"/>
        <w:rPr>
          <w:rFonts w:ascii="Times New Roman" w:hAnsi="Times New Roman" w:cs="Times New Roman"/>
        </w:rPr>
      </w:pPr>
    </w:p>
    <w:p w14:paraId="28181F8A" w14:textId="3D2F671E" w:rsidR="00400989" w:rsidRPr="00400989" w:rsidRDefault="00196724" w:rsidP="00824073">
      <w:pPr>
        <w:pStyle w:val="ListParagraph"/>
        <w:numPr>
          <w:ilvl w:val="0"/>
          <w:numId w:val="1"/>
        </w:numPr>
        <w:spacing w:line="360" w:lineRule="auto"/>
        <w:jc w:val="both"/>
        <w:rPr>
          <w:rFonts w:ascii="Times New Roman" w:eastAsia="Times New Roman" w:hAnsi="Times New Roman" w:cs="Times New Roman"/>
          <w:lang w:val="en-GB" w:eastAsia="en-GB"/>
        </w:rPr>
      </w:pPr>
      <w:r>
        <w:rPr>
          <w:rFonts w:ascii="Times New Roman" w:hAnsi="Times New Roman" w:cs="Times New Roman"/>
        </w:rPr>
        <w:t>I</w:t>
      </w:r>
      <w:r w:rsidR="004A13FC" w:rsidRPr="00400989">
        <w:rPr>
          <w:rFonts w:ascii="Times New Roman" w:hAnsi="Times New Roman" w:cs="Times New Roman"/>
        </w:rPr>
        <w:t xml:space="preserve">n </w:t>
      </w:r>
      <w:r w:rsidR="004A13FC" w:rsidRPr="00400989">
        <w:rPr>
          <w:rFonts w:ascii="Times New Roman" w:hAnsi="Times New Roman" w:cs="Times New Roman"/>
          <w:b/>
          <w:bCs/>
          <w:i/>
          <w:iCs/>
        </w:rPr>
        <w:t>Corcoran</w:t>
      </w:r>
      <w:r>
        <w:rPr>
          <w:rFonts w:ascii="Times New Roman" w:hAnsi="Times New Roman" w:cs="Times New Roman"/>
          <w:b/>
          <w:bCs/>
          <w:i/>
          <w:iCs/>
        </w:rPr>
        <w:t xml:space="preserve">, </w:t>
      </w:r>
      <w:r w:rsidR="004A13FC" w:rsidRPr="00400989">
        <w:rPr>
          <w:rFonts w:ascii="Times New Roman" w:hAnsi="Times New Roman" w:cs="Times New Roman"/>
        </w:rPr>
        <w:t>Hogan J</w:t>
      </w:r>
      <w:r w:rsidR="00400989">
        <w:rPr>
          <w:rFonts w:ascii="Times New Roman" w:hAnsi="Times New Roman" w:cs="Times New Roman"/>
        </w:rPr>
        <w:t>.</w:t>
      </w:r>
      <w:r w:rsidR="004A13FC" w:rsidRPr="00400989">
        <w:rPr>
          <w:rFonts w:ascii="Times New Roman" w:hAnsi="Times New Roman" w:cs="Times New Roman"/>
        </w:rPr>
        <w:t xml:space="preserve"> addresse</w:t>
      </w:r>
      <w:r>
        <w:rPr>
          <w:rFonts w:ascii="Times New Roman" w:hAnsi="Times New Roman" w:cs="Times New Roman"/>
        </w:rPr>
        <w:t>d</w:t>
      </w:r>
      <w:r w:rsidR="004A13FC" w:rsidRPr="00400989">
        <w:rPr>
          <w:rFonts w:ascii="Times New Roman" w:hAnsi="Times New Roman" w:cs="Times New Roman"/>
        </w:rPr>
        <w:t xml:space="preserve"> the interaction between the State’s constitutional identity as a democracy</w:t>
      </w:r>
      <w:r w:rsidR="004022A8">
        <w:rPr>
          <w:rFonts w:ascii="Times New Roman" w:hAnsi="Times New Roman" w:cs="Times New Roman"/>
        </w:rPr>
        <w:t>,</w:t>
      </w:r>
      <w:r w:rsidR="004A13FC" w:rsidRPr="00400989">
        <w:rPr>
          <w:rFonts w:ascii="Times New Roman" w:hAnsi="Times New Roman" w:cs="Times New Roman"/>
        </w:rPr>
        <w:t xml:space="preserve"> as provided for in Article 5</w:t>
      </w:r>
      <w:r w:rsidR="004022A8">
        <w:rPr>
          <w:rFonts w:ascii="Times New Roman" w:hAnsi="Times New Roman" w:cs="Times New Roman"/>
        </w:rPr>
        <w:t>,</w:t>
      </w:r>
      <w:r w:rsidR="004A13FC" w:rsidRPr="00400989">
        <w:rPr>
          <w:rFonts w:ascii="Times New Roman" w:hAnsi="Times New Roman" w:cs="Times New Roman"/>
        </w:rPr>
        <w:t xml:space="preserve"> and the freedom of expression provisions of Article 40.6.1° at §70-71:</w:t>
      </w:r>
    </w:p>
    <w:p w14:paraId="5A0FB1B5" w14:textId="77777777" w:rsidR="00400989" w:rsidRPr="00400989" w:rsidRDefault="00400989" w:rsidP="00824073">
      <w:pPr>
        <w:pStyle w:val="ListParagraph"/>
        <w:spacing w:line="360" w:lineRule="auto"/>
        <w:jc w:val="both"/>
        <w:rPr>
          <w:rFonts w:ascii="Times New Roman" w:eastAsia="Times New Roman" w:hAnsi="Times New Roman" w:cs="Times New Roman"/>
          <w:lang w:val="en-GB" w:eastAsia="en-GB"/>
        </w:rPr>
      </w:pPr>
    </w:p>
    <w:p w14:paraId="2C194859" w14:textId="1BAF140F" w:rsidR="00400989" w:rsidRPr="00234736" w:rsidRDefault="004A13FC"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 xml:space="preserve">“[70] As this court recently pointed out in </w:t>
      </w:r>
      <w:r w:rsidRPr="00234736">
        <w:rPr>
          <w:rFonts w:ascii="Times New Roman" w:hAnsi="Times New Roman" w:cs="Times New Roman"/>
        </w:rPr>
        <w:t>Costello v</w:t>
      </w:r>
      <w:r w:rsidR="00400989" w:rsidRPr="00234736">
        <w:rPr>
          <w:rFonts w:ascii="Times New Roman" w:hAnsi="Times New Roman" w:cs="Times New Roman"/>
        </w:rPr>
        <w:t>.</w:t>
      </w:r>
      <w:r w:rsidRPr="00234736">
        <w:rPr>
          <w:rFonts w:ascii="Times New Roman" w:hAnsi="Times New Roman" w:cs="Times New Roman"/>
        </w:rPr>
        <w:t xml:space="preserve"> Government of Ireland</w:t>
      </w:r>
      <w:r w:rsidRPr="00234736">
        <w:rPr>
          <w:rFonts w:ascii="Times New Roman" w:hAnsi="Times New Roman" w:cs="Times New Roman"/>
          <w:i/>
          <w:iCs/>
        </w:rPr>
        <w:t xml:space="preserve"> [2022] IESC 44, the democracy guarantee in Article 5 is a fundamental part of the State</w:t>
      </w:r>
      <w:r w:rsidR="004022A8" w:rsidRPr="00234736">
        <w:rPr>
          <w:rFonts w:ascii="Times New Roman" w:hAnsi="Times New Roman" w:cs="Times New Roman"/>
          <w:i/>
          <w:iCs/>
        </w:rPr>
        <w:t>’</w:t>
      </w:r>
      <w:r w:rsidRPr="00234736">
        <w:rPr>
          <w:rFonts w:ascii="Times New Roman" w:hAnsi="Times New Roman" w:cs="Times New Roman"/>
          <w:i/>
          <w:iCs/>
        </w:rPr>
        <w:t xml:space="preserve">s constitutional identity. Democracy in this sense is, of course, rather more than simply filling in ballot papers at elections and referenda, vital though this is: it also </w:t>
      </w:r>
      <w:r w:rsidRPr="00234736">
        <w:rPr>
          <w:rFonts w:ascii="Times New Roman" w:hAnsi="Times New Roman" w:cs="Times New Roman"/>
          <w:i/>
          <w:iCs/>
        </w:rPr>
        <w:lastRenderedPageBreak/>
        <w:t xml:space="preserve">presupposes, for example, as I put in the referendum context in </w:t>
      </w:r>
      <w:r w:rsidRPr="00234736">
        <w:rPr>
          <w:rFonts w:ascii="Times New Roman" w:hAnsi="Times New Roman" w:cs="Times New Roman"/>
        </w:rPr>
        <w:t>Doherty v. Referendum Commission</w:t>
      </w:r>
      <w:r w:rsidRPr="00234736">
        <w:rPr>
          <w:rFonts w:ascii="Times New Roman" w:hAnsi="Times New Roman" w:cs="Times New Roman"/>
          <w:i/>
          <w:iCs/>
        </w:rPr>
        <w:t xml:space="preserve"> [2012] IEHC 211, [2012] 2 I.R. 594, at p. 604, the existence of an informed and deliberative societal and political discourse is thereby presupposed:</w:t>
      </w:r>
    </w:p>
    <w:p w14:paraId="0A75622E" w14:textId="77777777" w:rsidR="00400989" w:rsidRDefault="004A13FC" w:rsidP="00824073">
      <w:pPr>
        <w:pStyle w:val="ListParagraph"/>
        <w:spacing w:line="360" w:lineRule="auto"/>
        <w:ind w:left="1440"/>
        <w:jc w:val="both"/>
        <w:rPr>
          <w:rFonts w:ascii="Times New Roman" w:hAnsi="Times New Roman" w:cs="Times New Roman"/>
          <w:i/>
          <w:iCs/>
        </w:rPr>
      </w:pPr>
      <w:r w:rsidRPr="00AD669A">
        <w:rPr>
          <w:rFonts w:ascii="Times New Roman" w:hAnsi="Times New Roman" w:cs="Times New Roman"/>
          <w:i/>
          <w:iCs/>
        </w:rPr>
        <w:t>“[23] … by urging the citizenry to engage in robust political debate so that the forces of deliberation will prevail over the arbitrary and irrational so that, in this civic democracy, reasoned argument would prevail in this triumph of discourse.”</w:t>
      </w:r>
    </w:p>
    <w:p w14:paraId="0D44E3E4" w14:textId="0096BCFE" w:rsidR="00400989" w:rsidRDefault="004022A8" w:rsidP="004022A8">
      <w:pPr>
        <w:spacing w:line="360" w:lineRule="auto"/>
        <w:ind w:left="1440"/>
        <w:jc w:val="both"/>
        <w:rPr>
          <w:rFonts w:ascii="Times New Roman" w:eastAsia="Times New Roman" w:hAnsi="Times New Roman" w:cs="Times New Roman"/>
          <w:lang w:val="en-GB" w:eastAsia="en-GB"/>
        </w:rPr>
      </w:pPr>
      <w:r>
        <w:rPr>
          <w:rFonts w:ascii="Times New Roman" w:hAnsi="Times New Roman" w:cs="Times New Roman"/>
          <w:i/>
          <w:iCs/>
        </w:rPr>
        <w:t>“</w:t>
      </w:r>
      <w:r w:rsidR="004A13FC" w:rsidRPr="00400989">
        <w:rPr>
          <w:rFonts w:ascii="Times New Roman" w:hAnsi="Times New Roman" w:cs="Times New Roman"/>
          <w:i/>
          <w:iCs/>
        </w:rPr>
        <w:t xml:space="preserve">[71] While few would be naïve or starry-eyed enough to believe that we had achieved a perfect form of Athenian civic democracy of a kind of which the shades of Pericles and Thucydides might be proud, at the same time, </w:t>
      </w:r>
      <w:r w:rsidR="004A13FC" w:rsidRPr="00400989">
        <w:rPr>
          <w:rFonts w:ascii="Times New Roman" w:hAnsi="Times New Roman" w:cs="Times New Roman"/>
          <w:i/>
          <w:iCs/>
          <w:u w:val="single"/>
        </w:rPr>
        <w:t>in the very words of Article 40.6.1°, the “education of public opinion” and allowing for robust political debate is vital if the life blood of the democratic order envisaged by Article 5 is to be safeguarded</w:t>
      </w:r>
      <w:r w:rsidR="004A13FC" w:rsidRPr="00400989">
        <w:rPr>
          <w:rFonts w:ascii="Times New Roman" w:hAnsi="Times New Roman" w:cs="Times New Roman"/>
          <w:i/>
          <w:iCs/>
        </w:rPr>
        <w:t>. This, at any rate, is the role which Article 40.6.1° assigns to the media. It has been given the task of holding up a mirror to society and government so that the public can form their own — inevitably diverse — opinions as to how the problems and issues of the day can be best addressed.”</w:t>
      </w:r>
      <w:r w:rsidR="00400989">
        <w:rPr>
          <w:rFonts w:ascii="Times New Roman" w:eastAsia="Times New Roman" w:hAnsi="Times New Roman" w:cs="Times New Roman"/>
          <w:lang w:val="en-GB" w:eastAsia="en-GB"/>
        </w:rPr>
        <w:t xml:space="preserve"> </w:t>
      </w:r>
      <w:r w:rsidR="004A13FC" w:rsidRPr="00400989">
        <w:rPr>
          <w:rFonts w:ascii="Times New Roman" w:hAnsi="Times New Roman" w:cs="Times New Roman"/>
        </w:rPr>
        <w:t>[Emphasis added]</w:t>
      </w:r>
    </w:p>
    <w:p w14:paraId="15D9EAD4" w14:textId="77777777" w:rsidR="00400989" w:rsidRDefault="00400989" w:rsidP="00824073">
      <w:pPr>
        <w:spacing w:line="360" w:lineRule="auto"/>
        <w:jc w:val="both"/>
        <w:rPr>
          <w:rFonts w:ascii="Times New Roman" w:hAnsi="Times New Roman" w:cs="Times New Roman"/>
          <w:i/>
          <w:iCs/>
        </w:rPr>
      </w:pPr>
    </w:p>
    <w:p w14:paraId="6A4EF3BE" w14:textId="12DC7938" w:rsidR="00400989" w:rsidRPr="00400989" w:rsidRDefault="004A13FC" w:rsidP="00824073">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 xml:space="preserve">The interpretation of the provisions therefore </w:t>
      </w:r>
      <w:r w:rsidR="004022A8">
        <w:rPr>
          <w:rFonts w:ascii="Times New Roman" w:hAnsi="Times New Roman" w:cs="Times New Roman"/>
        </w:rPr>
        <w:t>requires</w:t>
      </w:r>
      <w:r w:rsidRPr="00400989">
        <w:rPr>
          <w:rFonts w:ascii="Times New Roman" w:hAnsi="Times New Roman" w:cs="Times New Roman"/>
        </w:rPr>
        <w:t xml:space="preserve"> a contextualised reading within the Constitution’s overall commitment to democracy.</w:t>
      </w:r>
      <w:r w:rsidR="00196724">
        <w:rPr>
          <w:rStyle w:val="FootnoteReference"/>
          <w:rFonts w:ascii="Times New Roman" w:hAnsi="Times New Roman" w:cs="Times New Roman"/>
        </w:rPr>
        <w:footnoteReference w:id="3"/>
      </w:r>
    </w:p>
    <w:p w14:paraId="2E6F2F08" w14:textId="77777777" w:rsidR="00400989" w:rsidRPr="00400989" w:rsidRDefault="00400989" w:rsidP="00824073">
      <w:pPr>
        <w:pStyle w:val="ListParagraph"/>
        <w:spacing w:line="360" w:lineRule="auto"/>
        <w:jc w:val="both"/>
        <w:rPr>
          <w:rFonts w:ascii="Times New Roman" w:eastAsia="Times New Roman" w:hAnsi="Times New Roman" w:cs="Times New Roman"/>
          <w:lang w:val="en-GB" w:eastAsia="en-GB"/>
        </w:rPr>
      </w:pPr>
    </w:p>
    <w:p w14:paraId="32FED162" w14:textId="7E3AE5A6" w:rsidR="00400989" w:rsidRPr="00400989" w:rsidRDefault="005B039A" w:rsidP="00824073">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A further issue that was addressed by th</w:t>
      </w:r>
      <w:r w:rsidR="00196724">
        <w:rPr>
          <w:rFonts w:ascii="Times New Roman" w:hAnsi="Times New Roman" w:cs="Times New Roman"/>
        </w:rPr>
        <w:t>is</w:t>
      </w:r>
      <w:r w:rsidRPr="00400989">
        <w:rPr>
          <w:rFonts w:ascii="Times New Roman" w:hAnsi="Times New Roman" w:cs="Times New Roman"/>
        </w:rPr>
        <w:t xml:space="preserve"> Court in </w:t>
      </w:r>
      <w:r w:rsidRPr="00400989">
        <w:rPr>
          <w:rFonts w:ascii="Times New Roman" w:hAnsi="Times New Roman" w:cs="Times New Roman"/>
          <w:b/>
          <w:bCs/>
          <w:i/>
          <w:iCs/>
        </w:rPr>
        <w:t>Corcoran</w:t>
      </w:r>
      <w:r w:rsidRPr="00400989">
        <w:rPr>
          <w:rFonts w:ascii="Times New Roman" w:hAnsi="Times New Roman" w:cs="Times New Roman"/>
        </w:rPr>
        <w:t xml:space="preserve"> (and in </w:t>
      </w:r>
      <w:r w:rsidR="00196724">
        <w:rPr>
          <w:rFonts w:ascii="Times New Roman" w:hAnsi="Times New Roman" w:cs="Times New Roman"/>
        </w:rPr>
        <w:t xml:space="preserve">many </w:t>
      </w:r>
      <w:r w:rsidRPr="00400989">
        <w:rPr>
          <w:rFonts w:ascii="Times New Roman" w:hAnsi="Times New Roman" w:cs="Times New Roman"/>
        </w:rPr>
        <w:t>other cases</w:t>
      </w:r>
      <w:r w:rsidR="00400989">
        <w:rPr>
          <w:rFonts w:ascii="Times New Roman" w:hAnsi="Times New Roman" w:cs="Times New Roman"/>
        </w:rPr>
        <w:t>)</w:t>
      </w:r>
      <w:r w:rsidRPr="00400989">
        <w:rPr>
          <w:rFonts w:ascii="Times New Roman" w:hAnsi="Times New Roman" w:cs="Times New Roman"/>
        </w:rPr>
        <w:t xml:space="preserve"> is the status of the ECHR vis-a</w:t>
      </w:r>
      <w:r w:rsidR="00400989">
        <w:rPr>
          <w:rFonts w:ascii="Times New Roman" w:hAnsi="Times New Roman" w:cs="Times New Roman"/>
        </w:rPr>
        <w:t xml:space="preserve"> </w:t>
      </w:r>
      <w:r w:rsidRPr="00400989">
        <w:rPr>
          <w:rFonts w:ascii="Times New Roman" w:hAnsi="Times New Roman" w:cs="Times New Roman"/>
        </w:rPr>
        <w:t>vis the Constitution.</w:t>
      </w:r>
      <w:r w:rsidRPr="00AD669A">
        <w:rPr>
          <w:rStyle w:val="FootnoteReference"/>
          <w:rFonts w:ascii="Times New Roman" w:hAnsi="Times New Roman" w:cs="Times New Roman"/>
        </w:rPr>
        <w:footnoteReference w:id="4"/>
      </w:r>
      <w:r w:rsidRPr="00400989">
        <w:rPr>
          <w:rFonts w:ascii="Times New Roman" w:hAnsi="Times New Roman" w:cs="Times New Roman"/>
        </w:rPr>
        <w:t xml:space="preserve"> </w:t>
      </w:r>
      <w:r w:rsidR="00196724">
        <w:rPr>
          <w:rFonts w:ascii="Times New Roman" w:hAnsi="Times New Roman" w:cs="Times New Roman"/>
        </w:rPr>
        <w:t xml:space="preserve">Whilst </w:t>
      </w:r>
      <w:r w:rsidRPr="00400989">
        <w:rPr>
          <w:rFonts w:ascii="Times New Roman" w:hAnsi="Times New Roman" w:cs="Times New Roman"/>
        </w:rPr>
        <w:t xml:space="preserve">it </w:t>
      </w:r>
      <w:r w:rsidR="00400989">
        <w:rPr>
          <w:rFonts w:ascii="Times New Roman" w:hAnsi="Times New Roman" w:cs="Times New Roman"/>
        </w:rPr>
        <w:t xml:space="preserve">is </w:t>
      </w:r>
      <w:r w:rsidRPr="00400989">
        <w:rPr>
          <w:rFonts w:ascii="Times New Roman" w:hAnsi="Times New Roman" w:cs="Times New Roman"/>
        </w:rPr>
        <w:t>imperative that</w:t>
      </w:r>
      <w:r w:rsidR="00196724">
        <w:rPr>
          <w:rFonts w:ascii="Times New Roman" w:hAnsi="Times New Roman" w:cs="Times New Roman"/>
        </w:rPr>
        <w:t xml:space="preserve"> </w:t>
      </w:r>
      <w:r w:rsidR="008A62B9">
        <w:rPr>
          <w:rFonts w:ascii="Times New Roman" w:hAnsi="Times New Roman" w:cs="Times New Roman"/>
        </w:rPr>
        <w:t>c</w:t>
      </w:r>
      <w:r w:rsidRPr="00400989">
        <w:rPr>
          <w:rFonts w:ascii="Times New Roman" w:hAnsi="Times New Roman" w:cs="Times New Roman"/>
        </w:rPr>
        <w:t xml:space="preserve">onstitutional protections are examined in the first instance, there is </w:t>
      </w:r>
      <w:r w:rsidR="00400989">
        <w:rPr>
          <w:rFonts w:ascii="Times New Roman" w:hAnsi="Times New Roman" w:cs="Times New Roman"/>
        </w:rPr>
        <w:t>a</w:t>
      </w:r>
      <w:r w:rsidRPr="00400989">
        <w:rPr>
          <w:rFonts w:ascii="Times New Roman" w:hAnsi="Times New Roman" w:cs="Times New Roman"/>
        </w:rPr>
        <w:t xml:space="preserve"> body of relevant </w:t>
      </w:r>
      <w:r w:rsidRPr="00400989">
        <w:rPr>
          <w:rFonts w:ascii="Times New Roman" w:hAnsi="Times New Roman" w:cs="Times New Roman"/>
        </w:rPr>
        <w:lastRenderedPageBreak/>
        <w:t xml:space="preserve">jurisprudence of </w:t>
      </w:r>
      <w:r w:rsidR="00400989">
        <w:rPr>
          <w:rFonts w:ascii="Times New Roman" w:hAnsi="Times New Roman" w:cs="Times New Roman"/>
        </w:rPr>
        <w:t xml:space="preserve">the ECtHR </w:t>
      </w:r>
      <w:r w:rsidRPr="00400989">
        <w:rPr>
          <w:rFonts w:ascii="Times New Roman" w:hAnsi="Times New Roman" w:cs="Times New Roman"/>
        </w:rPr>
        <w:t xml:space="preserve">which may be of assistance in </w:t>
      </w:r>
      <w:r w:rsidRPr="00196724">
        <w:rPr>
          <w:rFonts w:ascii="Times New Roman" w:hAnsi="Times New Roman" w:cs="Times New Roman"/>
        </w:rPr>
        <w:t>determining th</w:t>
      </w:r>
      <w:r w:rsidR="00196724" w:rsidRPr="00196724">
        <w:rPr>
          <w:rFonts w:ascii="Times New Roman" w:hAnsi="Times New Roman" w:cs="Times New Roman"/>
        </w:rPr>
        <w:t>is</w:t>
      </w:r>
      <w:r w:rsidRPr="00196724">
        <w:rPr>
          <w:rFonts w:ascii="Times New Roman" w:hAnsi="Times New Roman" w:cs="Times New Roman"/>
        </w:rPr>
        <w:t xml:space="preserve"> </w:t>
      </w:r>
      <w:r w:rsidR="00C232D7">
        <w:rPr>
          <w:rFonts w:ascii="Times New Roman" w:hAnsi="Times New Roman" w:cs="Times New Roman"/>
        </w:rPr>
        <w:t xml:space="preserve">Appeal </w:t>
      </w:r>
      <w:r w:rsidRPr="00196724">
        <w:rPr>
          <w:rFonts w:ascii="Times New Roman" w:hAnsi="Times New Roman" w:cs="Times New Roman"/>
        </w:rPr>
        <w:t xml:space="preserve">and which the Court is obliged to consider where </w:t>
      </w:r>
      <w:r w:rsidR="004022A8">
        <w:rPr>
          <w:rFonts w:ascii="Times New Roman" w:hAnsi="Times New Roman" w:cs="Times New Roman"/>
        </w:rPr>
        <w:t>E</w:t>
      </w:r>
      <w:r w:rsidRPr="00196724">
        <w:rPr>
          <w:rFonts w:ascii="Times New Roman" w:hAnsi="Times New Roman" w:cs="Times New Roman"/>
        </w:rPr>
        <w:t>C</w:t>
      </w:r>
      <w:r w:rsidR="004022A8">
        <w:rPr>
          <w:rFonts w:ascii="Times New Roman" w:hAnsi="Times New Roman" w:cs="Times New Roman"/>
        </w:rPr>
        <w:t>HR</w:t>
      </w:r>
      <w:r w:rsidRPr="00196724">
        <w:rPr>
          <w:rFonts w:ascii="Times New Roman" w:hAnsi="Times New Roman" w:cs="Times New Roman"/>
        </w:rPr>
        <w:t xml:space="preserve"> rights are engaged</w:t>
      </w:r>
      <w:r w:rsidR="004022A8">
        <w:rPr>
          <w:rFonts w:ascii="Times New Roman" w:hAnsi="Times New Roman" w:cs="Times New Roman"/>
        </w:rPr>
        <w:t>:</w:t>
      </w:r>
      <w:r w:rsidR="00196724" w:rsidRPr="00196724">
        <w:rPr>
          <w:rFonts w:ascii="Times New Roman" w:hAnsi="Times New Roman" w:cs="Times New Roman"/>
        </w:rPr>
        <w:t xml:space="preserve"> </w:t>
      </w:r>
      <w:r w:rsidR="00196724">
        <w:rPr>
          <w:rFonts w:ascii="Times New Roman" w:hAnsi="Times New Roman" w:cs="Times New Roman"/>
        </w:rPr>
        <w:t>s</w:t>
      </w:r>
      <w:r w:rsidR="00196724" w:rsidRPr="00196724">
        <w:rPr>
          <w:rFonts w:ascii="Times New Roman" w:hAnsi="Times New Roman" w:cs="Times New Roman"/>
        </w:rPr>
        <w:t>ection 2</w:t>
      </w:r>
      <w:r w:rsidR="00196724">
        <w:rPr>
          <w:rFonts w:ascii="Times New Roman" w:hAnsi="Times New Roman" w:cs="Times New Roman"/>
        </w:rPr>
        <w:t xml:space="preserve"> of the ECHR Act </w:t>
      </w:r>
      <w:r w:rsidR="00196724" w:rsidRPr="00196724">
        <w:rPr>
          <w:rFonts w:ascii="Times New Roman" w:hAnsi="Times New Roman" w:cs="Times New Roman"/>
        </w:rPr>
        <w:t>2003</w:t>
      </w:r>
      <w:r w:rsidRPr="00196724">
        <w:rPr>
          <w:rFonts w:ascii="Times New Roman" w:hAnsi="Times New Roman" w:cs="Times New Roman"/>
        </w:rPr>
        <w:t xml:space="preserve">. </w:t>
      </w:r>
      <w:r w:rsidR="00196724" w:rsidRPr="00196724">
        <w:rPr>
          <w:rFonts w:ascii="Times New Roman" w:hAnsi="Times New Roman" w:cs="Times New Roman"/>
        </w:rPr>
        <w:t xml:space="preserve">The Commission does </w:t>
      </w:r>
      <w:r w:rsidRPr="00196724">
        <w:rPr>
          <w:rFonts w:ascii="Times New Roman" w:hAnsi="Times New Roman" w:cs="Times New Roman"/>
        </w:rPr>
        <w:t>not suggest that the 2003 Act informs the interpretation of the Constitution itself – as Collins J</w:t>
      </w:r>
      <w:r w:rsidR="00400989" w:rsidRPr="00196724">
        <w:rPr>
          <w:rFonts w:ascii="Times New Roman" w:hAnsi="Times New Roman" w:cs="Times New Roman"/>
        </w:rPr>
        <w:t>.</w:t>
      </w:r>
      <w:r w:rsidRPr="00196724">
        <w:rPr>
          <w:rFonts w:ascii="Times New Roman" w:hAnsi="Times New Roman" w:cs="Times New Roman"/>
        </w:rPr>
        <w:t xml:space="preserve"> in this Court observed in </w:t>
      </w:r>
      <w:r w:rsidRPr="00196724">
        <w:rPr>
          <w:rFonts w:ascii="Times New Roman" w:hAnsi="Times New Roman" w:cs="Times New Roman"/>
          <w:b/>
          <w:bCs/>
          <w:i/>
          <w:iCs/>
        </w:rPr>
        <w:t>Corcoran</w:t>
      </w:r>
      <w:r w:rsidRPr="00196724">
        <w:rPr>
          <w:rFonts w:ascii="Times New Roman" w:hAnsi="Times New Roman" w:cs="Times New Roman"/>
          <w:i/>
          <w:iCs/>
        </w:rPr>
        <w:t xml:space="preserve"> </w:t>
      </w:r>
      <w:r w:rsidRPr="00196724">
        <w:rPr>
          <w:rFonts w:ascii="Times New Roman" w:hAnsi="Times New Roman" w:cs="Times New Roman"/>
        </w:rPr>
        <w:t>at §74 “</w:t>
      </w:r>
      <w:r w:rsidR="00196724">
        <w:rPr>
          <w:rFonts w:ascii="Times New Roman" w:hAnsi="Times New Roman" w:cs="Times New Roman"/>
          <w:i/>
          <w:iCs/>
        </w:rPr>
        <w:t>[t]</w:t>
      </w:r>
      <w:r w:rsidRPr="00196724">
        <w:rPr>
          <w:rFonts w:ascii="Times New Roman" w:hAnsi="Times New Roman" w:cs="Times New Roman"/>
          <w:i/>
          <w:iCs/>
        </w:rPr>
        <w:t>he 2003 Act does not, of course</w:t>
      </w:r>
      <w:r w:rsidRPr="00400989">
        <w:rPr>
          <w:rFonts w:ascii="Times New Roman" w:hAnsi="Times New Roman" w:cs="Times New Roman"/>
          <w:i/>
          <w:iCs/>
        </w:rPr>
        <w:t>, govern the interpretation of the Constitution</w:t>
      </w:r>
      <w:r w:rsidR="00196724">
        <w:rPr>
          <w:rFonts w:ascii="Times New Roman" w:hAnsi="Times New Roman" w:cs="Times New Roman"/>
        </w:rPr>
        <w:t>”</w:t>
      </w:r>
      <w:r w:rsidRPr="00400989">
        <w:rPr>
          <w:rFonts w:ascii="Times New Roman" w:hAnsi="Times New Roman" w:cs="Times New Roman"/>
          <w:i/>
          <w:iCs/>
        </w:rPr>
        <w:t xml:space="preserve"> – </w:t>
      </w:r>
      <w:r w:rsidRPr="00400989">
        <w:rPr>
          <w:rFonts w:ascii="Times New Roman" w:hAnsi="Times New Roman" w:cs="Times New Roman"/>
        </w:rPr>
        <w:t>but</w:t>
      </w:r>
      <w:r w:rsidRPr="00400989">
        <w:rPr>
          <w:rFonts w:ascii="Times New Roman" w:hAnsi="Times New Roman" w:cs="Times New Roman"/>
          <w:i/>
          <w:iCs/>
        </w:rPr>
        <w:t xml:space="preserve"> </w:t>
      </w:r>
      <w:r w:rsidRPr="00400989">
        <w:rPr>
          <w:rFonts w:ascii="Times New Roman" w:hAnsi="Times New Roman" w:cs="Times New Roman"/>
        </w:rPr>
        <w:t xml:space="preserve">there are nonetheless two sources of fundamental rights that are of </w:t>
      </w:r>
      <w:r w:rsidR="004022A8">
        <w:rPr>
          <w:rFonts w:ascii="Times New Roman" w:hAnsi="Times New Roman" w:cs="Times New Roman"/>
        </w:rPr>
        <w:t>importanc</w:t>
      </w:r>
      <w:r w:rsidR="00C33C94">
        <w:rPr>
          <w:rFonts w:ascii="Times New Roman" w:hAnsi="Times New Roman" w:cs="Times New Roman"/>
        </w:rPr>
        <w:t>e</w:t>
      </w:r>
      <w:r w:rsidRPr="00400989">
        <w:rPr>
          <w:rFonts w:ascii="Times New Roman" w:hAnsi="Times New Roman" w:cs="Times New Roman"/>
        </w:rPr>
        <w:t>.</w:t>
      </w:r>
    </w:p>
    <w:p w14:paraId="74B3728B" w14:textId="77777777" w:rsidR="00400989" w:rsidRPr="004022A8" w:rsidRDefault="00400989" w:rsidP="004022A8">
      <w:pPr>
        <w:spacing w:line="360" w:lineRule="auto"/>
        <w:rPr>
          <w:rFonts w:ascii="Times New Roman" w:hAnsi="Times New Roman" w:cs="Times New Roman"/>
        </w:rPr>
      </w:pPr>
    </w:p>
    <w:p w14:paraId="3895E6B6" w14:textId="59131194" w:rsidR="00400989" w:rsidRPr="00400989" w:rsidRDefault="00196724" w:rsidP="00824073">
      <w:pPr>
        <w:pStyle w:val="ListParagraph"/>
        <w:numPr>
          <w:ilvl w:val="0"/>
          <w:numId w:val="1"/>
        </w:numPr>
        <w:spacing w:line="360" w:lineRule="auto"/>
        <w:jc w:val="both"/>
        <w:rPr>
          <w:rFonts w:ascii="Times New Roman" w:eastAsia="Times New Roman" w:hAnsi="Times New Roman" w:cs="Times New Roman"/>
          <w:lang w:val="en-GB" w:eastAsia="en-GB"/>
        </w:rPr>
      </w:pPr>
      <w:r>
        <w:rPr>
          <w:rFonts w:ascii="Times New Roman" w:hAnsi="Times New Roman" w:cs="Times New Roman"/>
        </w:rPr>
        <w:t>S</w:t>
      </w:r>
      <w:r w:rsidR="005B039A" w:rsidRPr="00400989">
        <w:rPr>
          <w:rFonts w:ascii="Times New Roman" w:hAnsi="Times New Roman" w:cs="Times New Roman"/>
        </w:rPr>
        <w:t xml:space="preserve">ection 2 of the </w:t>
      </w:r>
      <w:r>
        <w:rPr>
          <w:rFonts w:ascii="Times New Roman" w:hAnsi="Times New Roman" w:cs="Times New Roman"/>
        </w:rPr>
        <w:t xml:space="preserve">ECHR Act </w:t>
      </w:r>
      <w:r w:rsidR="005B039A" w:rsidRPr="00400989">
        <w:rPr>
          <w:rFonts w:ascii="Times New Roman" w:hAnsi="Times New Roman" w:cs="Times New Roman"/>
        </w:rPr>
        <w:t xml:space="preserve">2003 </w:t>
      </w:r>
      <w:r>
        <w:rPr>
          <w:rFonts w:ascii="Times New Roman" w:hAnsi="Times New Roman" w:cs="Times New Roman"/>
        </w:rPr>
        <w:t>provides</w:t>
      </w:r>
      <w:r w:rsidR="00C33C94">
        <w:rPr>
          <w:rFonts w:ascii="Times New Roman" w:hAnsi="Times New Roman" w:cs="Times New Roman"/>
        </w:rPr>
        <w:t xml:space="preserve"> that</w:t>
      </w:r>
      <w:r w:rsidR="005B039A" w:rsidRPr="00400989">
        <w:rPr>
          <w:rFonts w:ascii="Times New Roman" w:hAnsi="Times New Roman" w:cs="Times New Roman"/>
        </w:rPr>
        <w:t xml:space="preserve">: </w:t>
      </w:r>
    </w:p>
    <w:p w14:paraId="69C0A0FE" w14:textId="77777777" w:rsidR="00400989" w:rsidRPr="00400989" w:rsidRDefault="00400989" w:rsidP="00824073">
      <w:pPr>
        <w:pStyle w:val="ListParagraph"/>
        <w:spacing w:line="360" w:lineRule="auto"/>
        <w:rPr>
          <w:rFonts w:ascii="Times New Roman" w:hAnsi="Times New Roman" w:cs="Times New Roman"/>
          <w:i/>
          <w:iCs/>
        </w:rPr>
      </w:pPr>
    </w:p>
    <w:p w14:paraId="331FEED4" w14:textId="77777777" w:rsidR="00400989" w:rsidRPr="00234736" w:rsidRDefault="005B039A"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“In interpreting and applying any statutory provision or rule of law, a court shall, in so far as possible, subject to the rules of law relating to interpretation and application, do so in a manner compatible with the State</w:t>
      </w:r>
      <w:r w:rsidR="00400989" w:rsidRPr="00234736">
        <w:rPr>
          <w:rFonts w:ascii="Times New Roman" w:hAnsi="Times New Roman" w:cs="Times New Roman"/>
          <w:i/>
          <w:iCs/>
        </w:rPr>
        <w:t>’</w:t>
      </w:r>
      <w:r w:rsidRPr="00234736">
        <w:rPr>
          <w:rFonts w:ascii="Times New Roman" w:hAnsi="Times New Roman" w:cs="Times New Roman"/>
          <w:i/>
          <w:iCs/>
        </w:rPr>
        <w:t>s obligations under the Convention provisions.”</w:t>
      </w:r>
    </w:p>
    <w:p w14:paraId="3B5A823A" w14:textId="77777777" w:rsidR="00400989" w:rsidRDefault="00400989" w:rsidP="00824073">
      <w:pPr>
        <w:spacing w:line="360" w:lineRule="auto"/>
        <w:jc w:val="both"/>
        <w:rPr>
          <w:rFonts w:ascii="Times New Roman" w:hAnsi="Times New Roman" w:cs="Times New Roman"/>
        </w:rPr>
      </w:pPr>
    </w:p>
    <w:p w14:paraId="30ED1EAD" w14:textId="317D35D0" w:rsidR="00196724" w:rsidRPr="00196724" w:rsidRDefault="00196724" w:rsidP="00824073">
      <w:pPr>
        <w:pStyle w:val="ListParagraph"/>
        <w:numPr>
          <w:ilvl w:val="0"/>
          <w:numId w:val="1"/>
        </w:numPr>
        <w:spacing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Section 1 provides that “rule of law” includes common law.</w:t>
      </w:r>
    </w:p>
    <w:p w14:paraId="11253974" w14:textId="77777777" w:rsidR="00196724" w:rsidRPr="00196724" w:rsidRDefault="00196724" w:rsidP="00824073">
      <w:pPr>
        <w:pStyle w:val="ListParagraph"/>
        <w:spacing w:line="360" w:lineRule="auto"/>
        <w:jc w:val="both"/>
        <w:rPr>
          <w:rFonts w:ascii="Times New Roman" w:eastAsia="Times New Roman" w:hAnsi="Times New Roman" w:cs="Times New Roman"/>
          <w:lang w:val="en-GB" w:eastAsia="en-GB"/>
        </w:rPr>
      </w:pPr>
    </w:p>
    <w:p w14:paraId="37C6C7C2" w14:textId="5B3AD6BF" w:rsidR="00400989" w:rsidRPr="00400989" w:rsidRDefault="005B039A" w:rsidP="00824073">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The import of section 2(1) was recently considered by Collins J</w:t>
      </w:r>
      <w:r w:rsidR="00196724">
        <w:rPr>
          <w:rFonts w:ascii="Times New Roman" w:hAnsi="Times New Roman" w:cs="Times New Roman"/>
        </w:rPr>
        <w:t>.</w:t>
      </w:r>
      <w:r w:rsidRPr="00400989">
        <w:rPr>
          <w:rFonts w:ascii="Times New Roman" w:hAnsi="Times New Roman" w:cs="Times New Roman"/>
        </w:rPr>
        <w:t xml:space="preserve"> in </w:t>
      </w:r>
      <w:r w:rsidRPr="00400989">
        <w:rPr>
          <w:rFonts w:ascii="Times New Roman" w:hAnsi="Times New Roman" w:cs="Times New Roman"/>
          <w:b/>
          <w:bCs/>
          <w:i/>
          <w:iCs/>
        </w:rPr>
        <w:t>Corcoran</w:t>
      </w:r>
      <w:r w:rsidRPr="00400989">
        <w:rPr>
          <w:rFonts w:ascii="Times New Roman" w:hAnsi="Times New Roman" w:cs="Times New Roman"/>
        </w:rPr>
        <w:t>:</w:t>
      </w:r>
    </w:p>
    <w:p w14:paraId="54E678AE" w14:textId="77777777" w:rsidR="00400989" w:rsidRPr="00400989" w:rsidRDefault="00400989" w:rsidP="00824073">
      <w:pPr>
        <w:pStyle w:val="ListParagraph"/>
        <w:spacing w:line="360" w:lineRule="auto"/>
        <w:jc w:val="both"/>
        <w:rPr>
          <w:rFonts w:ascii="Times New Roman" w:eastAsia="Times New Roman" w:hAnsi="Times New Roman" w:cs="Times New Roman"/>
          <w:lang w:val="en-GB" w:eastAsia="en-GB"/>
        </w:rPr>
      </w:pPr>
    </w:p>
    <w:p w14:paraId="25B1F1F4" w14:textId="1C3E0D02" w:rsidR="00400989" w:rsidRDefault="004022A8" w:rsidP="00824073">
      <w:pPr>
        <w:pStyle w:val="ListParagraph"/>
        <w:spacing w:line="360" w:lineRule="auto"/>
        <w:jc w:val="both"/>
        <w:rPr>
          <w:rFonts w:ascii="Times New Roman" w:hAnsi="Times New Roman" w:cs="Times New Roman"/>
          <w:i/>
          <w:iCs/>
        </w:rPr>
      </w:pPr>
      <w:r>
        <w:rPr>
          <w:rFonts w:ascii="Times New Roman" w:hAnsi="Times New Roman" w:cs="Times New Roman"/>
          <w:i/>
          <w:iCs/>
        </w:rPr>
        <w:t>[</w:t>
      </w:r>
      <w:r w:rsidR="00A91170">
        <w:rPr>
          <w:rFonts w:ascii="Times New Roman" w:hAnsi="Times New Roman" w:cs="Times New Roman"/>
          <w:i/>
          <w:iCs/>
        </w:rPr>
        <w:t>154</w:t>
      </w:r>
      <w:r>
        <w:rPr>
          <w:rFonts w:ascii="Times New Roman" w:hAnsi="Times New Roman" w:cs="Times New Roman"/>
          <w:i/>
          <w:iCs/>
        </w:rPr>
        <w:t>]</w:t>
      </w:r>
      <w:r w:rsidR="005B039A" w:rsidRPr="00400989">
        <w:rPr>
          <w:rFonts w:ascii="Times New Roman" w:hAnsi="Times New Roman" w:cs="Times New Roman"/>
          <w:i/>
          <w:iCs/>
        </w:rPr>
        <w:t xml:space="preserve">. </w:t>
      </w:r>
      <w:r>
        <w:rPr>
          <w:rFonts w:ascii="Times New Roman" w:hAnsi="Times New Roman" w:cs="Times New Roman"/>
          <w:i/>
          <w:iCs/>
        </w:rPr>
        <w:t xml:space="preserve">… </w:t>
      </w:r>
      <w:r w:rsidR="005B039A" w:rsidRPr="00400989">
        <w:rPr>
          <w:rFonts w:ascii="Times New Roman" w:hAnsi="Times New Roman" w:cs="Times New Roman"/>
          <w:i/>
          <w:iCs/>
        </w:rPr>
        <w:t>the interpretative obligation imposed by s</w:t>
      </w:r>
      <w:r w:rsidR="00A91170">
        <w:rPr>
          <w:rFonts w:ascii="Times New Roman" w:hAnsi="Times New Roman" w:cs="Times New Roman"/>
          <w:i/>
          <w:iCs/>
        </w:rPr>
        <w:t>.</w:t>
      </w:r>
      <w:r w:rsidR="005B039A" w:rsidRPr="00400989">
        <w:rPr>
          <w:rFonts w:ascii="Times New Roman" w:hAnsi="Times New Roman" w:cs="Times New Roman"/>
          <w:i/>
          <w:iCs/>
        </w:rPr>
        <w:t xml:space="preserve"> 2 of the 2003 Act clearly requires that </w:t>
      </w:r>
      <w:r w:rsidR="00196724">
        <w:rPr>
          <w:rFonts w:ascii="Times New Roman" w:hAnsi="Times New Roman" w:cs="Times New Roman"/>
          <w:i/>
          <w:iCs/>
        </w:rPr>
        <w:t>s</w:t>
      </w:r>
      <w:r w:rsidR="00A91170">
        <w:rPr>
          <w:rFonts w:ascii="Times New Roman" w:hAnsi="Times New Roman" w:cs="Times New Roman"/>
          <w:i/>
          <w:iCs/>
        </w:rPr>
        <w:t>.</w:t>
      </w:r>
      <w:r w:rsidR="005B039A" w:rsidRPr="00400989">
        <w:rPr>
          <w:rFonts w:ascii="Times New Roman" w:hAnsi="Times New Roman" w:cs="Times New Roman"/>
          <w:i/>
          <w:iCs/>
        </w:rPr>
        <w:t xml:space="preserve"> 10 be interpreted as entitling a judge to have regard to Article 10 in exercising his or her functions under </w:t>
      </w:r>
      <w:r w:rsidR="00196724">
        <w:rPr>
          <w:rFonts w:ascii="Times New Roman" w:hAnsi="Times New Roman" w:cs="Times New Roman"/>
          <w:i/>
          <w:iCs/>
        </w:rPr>
        <w:t>s</w:t>
      </w:r>
      <w:r w:rsidR="00A91170">
        <w:rPr>
          <w:rFonts w:ascii="Times New Roman" w:hAnsi="Times New Roman" w:cs="Times New Roman"/>
          <w:i/>
          <w:iCs/>
        </w:rPr>
        <w:t>.</w:t>
      </w:r>
      <w:r w:rsidR="005B039A" w:rsidRPr="00400989">
        <w:rPr>
          <w:rFonts w:ascii="Times New Roman" w:hAnsi="Times New Roman" w:cs="Times New Roman"/>
          <w:i/>
          <w:iCs/>
        </w:rPr>
        <w:t xml:space="preserve"> 10. That proposition follows inevitably from the terms of s</w:t>
      </w:r>
      <w:r w:rsidR="00A91170">
        <w:rPr>
          <w:rFonts w:ascii="Times New Roman" w:hAnsi="Times New Roman" w:cs="Times New Roman"/>
          <w:i/>
          <w:iCs/>
        </w:rPr>
        <w:t>.</w:t>
      </w:r>
      <w:r w:rsidR="005B039A" w:rsidRPr="00400989">
        <w:rPr>
          <w:rFonts w:ascii="Times New Roman" w:hAnsi="Times New Roman" w:cs="Times New Roman"/>
          <w:i/>
          <w:iCs/>
        </w:rPr>
        <w:t xml:space="preserve"> 2 itself, as well as the ECtHR</w:t>
      </w:r>
      <w:r w:rsidR="00196724">
        <w:rPr>
          <w:rFonts w:ascii="Times New Roman" w:hAnsi="Times New Roman" w:cs="Times New Roman"/>
          <w:i/>
          <w:iCs/>
        </w:rPr>
        <w:t>’</w:t>
      </w:r>
      <w:r w:rsidR="005B039A" w:rsidRPr="00400989">
        <w:rPr>
          <w:rFonts w:ascii="Times New Roman" w:hAnsi="Times New Roman" w:cs="Times New Roman"/>
          <w:i/>
          <w:iCs/>
        </w:rPr>
        <w:t>s Article 10 jurisprudence (of which judicial notice is to be taken by virtue of s</w:t>
      </w:r>
      <w:r w:rsidR="00A91170">
        <w:rPr>
          <w:rFonts w:ascii="Times New Roman" w:hAnsi="Times New Roman" w:cs="Times New Roman"/>
          <w:i/>
          <w:iCs/>
        </w:rPr>
        <w:t>.</w:t>
      </w:r>
      <w:r w:rsidR="005B039A" w:rsidRPr="00400989">
        <w:rPr>
          <w:rFonts w:ascii="Times New Roman" w:hAnsi="Times New Roman" w:cs="Times New Roman"/>
          <w:i/>
          <w:iCs/>
        </w:rPr>
        <w:t xml:space="preserve"> 4 of the 2003 Act). </w:t>
      </w:r>
      <w:r w:rsidR="005B039A" w:rsidRPr="00400989">
        <w:rPr>
          <w:rFonts w:ascii="Times New Roman" w:hAnsi="Times New Roman" w:cs="Times New Roman"/>
          <w:i/>
          <w:iCs/>
          <w:u w:val="single"/>
        </w:rPr>
        <w:t xml:space="preserve">This Court, like the High Court and the Court of Appeal, is duty bound to interpret </w:t>
      </w:r>
      <w:r w:rsidR="00196724">
        <w:rPr>
          <w:rFonts w:ascii="Times New Roman" w:hAnsi="Times New Roman" w:cs="Times New Roman"/>
          <w:i/>
          <w:iCs/>
          <w:u w:val="single"/>
        </w:rPr>
        <w:t>s</w:t>
      </w:r>
      <w:r w:rsidR="00A91170">
        <w:rPr>
          <w:rFonts w:ascii="Times New Roman" w:hAnsi="Times New Roman" w:cs="Times New Roman"/>
          <w:i/>
          <w:iCs/>
          <w:u w:val="single"/>
        </w:rPr>
        <w:t>.</w:t>
      </w:r>
      <w:r w:rsidR="005B039A" w:rsidRPr="00400989">
        <w:rPr>
          <w:rFonts w:ascii="Times New Roman" w:hAnsi="Times New Roman" w:cs="Times New Roman"/>
          <w:i/>
          <w:iCs/>
          <w:u w:val="single"/>
        </w:rPr>
        <w:t xml:space="preserve"> 10 in a manner compatible with the ECHR:</w:t>
      </w:r>
      <w:r w:rsidR="005B039A" w:rsidRPr="00400989">
        <w:rPr>
          <w:rFonts w:ascii="Times New Roman" w:hAnsi="Times New Roman" w:cs="Times New Roman"/>
          <w:i/>
          <w:iCs/>
        </w:rPr>
        <w:t xml:space="preserve"> see this Court</w:t>
      </w:r>
      <w:r w:rsidR="00196724">
        <w:rPr>
          <w:rFonts w:ascii="Times New Roman" w:hAnsi="Times New Roman" w:cs="Times New Roman"/>
          <w:i/>
          <w:iCs/>
        </w:rPr>
        <w:t>’</w:t>
      </w:r>
      <w:r w:rsidR="005B039A" w:rsidRPr="00400989">
        <w:rPr>
          <w:rFonts w:ascii="Times New Roman" w:hAnsi="Times New Roman" w:cs="Times New Roman"/>
          <w:i/>
          <w:iCs/>
        </w:rPr>
        <w:t xml:space="preserve">s decision in </w:t>
      </w:r>
      <w:r w:rsidR="005B039A" w:rsidRPr="00196724">
        <w:rPr>
          <w:rFonts w:ascii="Times New Roman" w:hAnsi="Times New Roman" w:cs="Times New Roman"/>
        </w:rPr>
        <w:t>Mahon v</w:t>
      </w:r>
      <w:r w:rsidR="00196724" w:rsidRPr="00196724">
        <w:rPr>
          <w:rFonts w:ascii="Times New Roman" w:hAnsi="Times New Roman" w:cs="Times New Roman"/>
        </w:rPr>
        <w:t>.</w:t>
      </w:r>
      <w:r w:rsidR="005B039A" w:rsidRPr="00196724">
        <w:rPr>
          <w:rFonts w:ascii="Times New Roman" w:hAnsi="Times New Roman" w:cs="Times New Roman"/>
        </w:rPr>
        <w:t xml:space="preserve"> Keena</w:t>
      </w:r>
      <w:r w:rsidR="005B039A" w:rsidRPr="00400989">
        <w:rPr>
          <w:rFonts w:ascii="Times New Roman" w:hAnsi="Times New Roman" w:cs="Times New Roman"/>
          <w:i/>
          <w:iCs/>
        </w:rPr>
        <w:t xml:space="preserve"> [2009] IESC 64 and 78, [2010] 1 IR 336, to which further reference is made below. The interpretive obligation imposed by s</w:t>
      </w:r>
      <w:r w:rsidR="00A91170">
        <w:rPr>
          <w:rFonts w:ascii="Times New Roman" w:hAnsi="Times New Roman" w:cs="Times New Roman"/>
          <w:i/>
          <w:iCs/>
        </w:rPr>
        <w:t>.</w:t>
      </w:r>
      <w:r w:rsidR="005B039A" w:rsidRPr="00400989">
        <w:rPr>
          <w:rFonts w:ascii="Times New Roman" w:hAnsi="Times New Roman" w:cs="Times New Roman"/>
          <w:i/>
          <w:iCs/>
        </w:rPr>
        <w:t xml:space="preserve"> 2 is not unlimited and does not permit the court to act as legislator: see the decision of this Court in </w:t>
      </w:r>
      <w:r w:rsidR="005B039A" w:rsidRPr="00196724">
        <w:rPr>
          <w:rFonts w:ascii="Times New Roman" w:hAnsi="Times New Roman" w:cs="Times New Roman"/>
        </w:rPr>
        <w:t>Ryan v</w:t>
      </w:r>
      <w:r w:rsidR="00196724">
        <w:rPr>
          <w:rFonts w:ascii="Times New Roman" w:hAnsi="Times New Roman" w:cs="Times New Roman"/>
        </w:rPr>
        <w:t>.</w:t>
      </w:r>
      <w:r w:rsidR="005B039A" w:rsidRPr="00196724">
        <w:rPr>
          <w:rFonts w:ascii="Times New Roman" w:hAnsi="Times New Roman" w:cs="Times New Roman"/>
        </w:rPr>
        <w:t xml:space="preserve"> Clare County Council</w:t>
      </w:r>
      <w:r w:rsidR="005B039A" w:rsidRPr="00400989">
        <w:rPr>
          <w:rFonts w:ascii="Times New Roman" w:hAnsi="Times New Roman" w:cs="Times New Roman"/>
          <w:i/>
          <w:iCs/>
        </w:rPr>
        <w:t xml:space="preserve"> [2014] IESC 67, [2015] 1 ILRM 81, per McMenamin J</w:t>
      </w:r>
      <w:r w:rsidR="00196724">
        <w:rPr>
          <w:rFonts w:ascii="Times New Roman" w:hAnsi="Times New Roman" w:cs="Times New Roman"/>
          <w:i/>
          <w:iCs/>
        </w:rPr>
        <w:t>.</w:t>
      </w:r>
      <w:r w:rsidR="005B039A" w:rsidRPr="00400989">
        <w:rPr>
          <w:rFonts w:ascii="Times New Roman" w:hAnsi="Times New Roman" w:cs="Times New Roman"/>
          <w:i/>
          <w:iCs/>
        </w:rPr>
        <w:t xml:space="preserve"> (</w:t>
      </w:r>
      <w:proofErr w:type="spellStart"/>
      <w:r w:rsidR="005B039A" w:rsidRPr="00400989">
        <w:rPr>
          <w:rFonts w:ascii="Times New Roman" w:hAnsi="Times New Roman" w:cs="Times New Roman"/>
          <w:i/>
          <w:iCs/>
        </w:rPr>
        <w:t>Laffoy</w:t>
      </w:r>
      <w:proofErr w:type="spellEnd"/>
      <w:r w:rsidR="005B039A" w:rsidRPr="00400989">
        <w:rPr>
          <w:rFonts w:ascii="Times New Roman" w:hAnsi="Times New Roman" w:cs="Times New Roman"/>
          <w:i/>
          <w:iCs/>
        </w:rPr>
        <w:t xml:space="preserve"> and Dunne JJ</w:t>
      </w:r>
      <w:r w:rsidR="00196724">
        <w:rPr>
          <w:rFonts w:ascii="Times New Roman" w:hAnsi="Times New Roman" w:cs="Times New Roman"/>
          <w:i/>
          <w:iCs/>
        </w:rPr>
        <w:t>.</w:t>
      </w:r>
      <w:r w:rsidR="005B039A" w:rsidRPr="00400989">
        <w:rPr>
          <w:rFonts w:ascii="Times New Roman" w:hAnsi="Times New Roman" w:cs="Times New Roman"/>
          <w:i/>
          <w:iCs/>
        </w:rPr>
        <w:t>) at para</w:t>
      </w:r>
      <w:r w:rsidR="00196724">
        <w:rPr>
          <w:rFonts w:ascii="Times New Roman" w:hAnsi="Times New Roman" w:cs="Times New Roman"/>
          <w:i/>
          <w:iCs/>
        </w:rPr>
        <w:t>.</w:t>
      </w:r>
      <w:r w:rsidR="005B039A" w:rsidRPr="00400989">
        <w:rPr>
          <w:rFonts w:ascii="Times New Roman" w:hAnsi="Times New Roman" w:cs="Times New Roman"/>
          <w:i/>
          <w:iCs/>
        </w:rPr>
        <w:t xml:space="preserve"> 55 as well as the decision of the High Court (McKechnie J</w:t>
      </w:r>
      <w:r w:rsidR="00196724">
        <w:rPr>
          <w:rFonts w:ascii="Times New Roman" w:hAnsi="Times New Roman" w:cs="Times New Roman"/>
          <w:i/>
          <w:iCs/>
        </w:rPr>
        <w:t>.</w:t>
      </w:r>
      <w:r w:rsidR="005B039A" w:rsidRPr="00400989">
        <w:rPr>
          <w:rFonts w:ascii="Times New Roman" w:hAnsi="Times New Roman" w:cs="Times New Roman"/>
          <w:i/>
          <w:iCs/>
        </w:rPr>
        <w:t xml:space="preserve">) in </w:t>
      </w:r>
      <w:r w:rsidR="005B039A" w:rsidRPr="00196724">
        <w:rPr>
          <w:rFonts w:ascii="Times New Roman" w:hAnsi="Times New Roman" w:cs="Times New Roman"/>
        </w:rPr>
        <w:t>Foy v</w:t>
      </w:r>
      <w:r w:rsidR="00196724" w:rsidRPr="00196724">
        <w:rPr>
          <w:rFonts w:ascii="Times New Roman" w:hAnsi="Times New Roman" w:cs="Times New Roman"/>
        </w:rPr>
        <w:t>.</w:t>
      </w:r>
      <w:r w:rsidR="005B039A" w:rsidRPr="00196724">
        <w:rPr>
          <w:rFonts w:ascii="Times New Roman" w:hAnsi="Times New Roman" w:cs="Times New Roman"/>
        </w:rPr>
        <w:t xml:space="preserve"> An </w:t>
      </w:r>
      <w:proofErr w:type="spellStart"/>
      <w:r w:rsidR="005B039A" w:rsidRPr="00196724">
        <w:rPr>
          <w:rFonts w:ascii="Times New Roman" w:hAnsi="Times New Roman" w:cs="Times New Roman"/>
        </w:rPr>
        <w:t>tArd-Chláraitheoir</w:t>
      </w:r>
      <w:proofErr w:type="spellEnd"/>
      <w:r w:rsidR="005B039A" w:rsidRPr="00400989">
        <w:rPr>
          <w:rFonts w:ascii="Times New Roman" w:hAnsi="Times New Roman" w:cs="Times New Roman"/>
          <w:i/>
          <w:iCs/>
        </w:rPr>
        <w:t xml:space="preserve"> [2007] IEHC 470, [2012] 2 IR 1, at paras 75 – 76.  </w:t>
      </w:r>
    </w:p>
    <w:p w14:paraId="175BDEB2" w14:textId="1F37B66E" w:rsidR="00400989" w:rsidRDefault="005B039A" w:rsidP="00824073">
      <w:pPr>
        <w:pStyle w:val="ListParagraph"/>
        <w:spacing w:line="360" w:lineRule="auto"/>
        <w:jc w:val="both"/>
        <w:rPr>
          <w:rFonts w:ascii="Times New Roman" w:hAnsi="Times New Roman" w:cs="Times New Roman"/>
          <w:i/>
          <w:iCs/>
        </w:rPr>
      </w:pPr>
      <w:r w:rsidRPr="00AD669A">
        <w:rPr>
          <w:rFonts w:ascii="Times New Roman" w:hAnsi="Times New Roman" w:cs="Times New Roman"/>
          <w:i/>
          <w:iCs/>
        </w:rPr>
        <w:t xml:space="preserve">Significant questions arise as to whether </w:t>
      </w:r>
      <w:r w:rsidR="00A91170">
        <w:rPr>
          <w:rFonts w:ascii="Times New Roman" w:hAnsi="Times New Roman" w:cs="Times New Roman"/>
          <w:i/>
          <w:iCs/>
        </w:rPr>
        <w:t>s.</w:t>
      </w:r>
      <w:r w:rsidRPr="00AD669A">
        <w:rPr>
          <w:rFonts w:ascii="Times New Roman" w:hAnsi="Times New Roman" w:cs="Times New Roman"/>
          <w:i/>
          <w:iCs/>
        </w:rPr>
        <w:t xml:space="preserve"> 10 is capable of being interpreted in a manner that would comply fully with the requirements of Article 10.  But the immediate issue here is more straightforward: it is whether a judge exercising the functions </w:t>
      </w:r>
      <w:r w:rsidRPr="00AD669A">
        <w:rPr>
          <w:rFonts w:ascii="Times New Roman" w:hAnsi="Times New Roman" w:cs="Times New Roman"/>
          <w:i/>
          <w:iCs/>
        </w:rPr>
        <w:lastRenderedPageBreak/>
        <w:t xml:space="preserve">conferred by </w:t>
      </w:r>
      <w:r w:rsidR="00196724">
        <w:rPr>
          <w:rFonts w:ascii="Times New Roman" w:hAnsi="Times New Roman" w:cs="Times New Roman"/>
          <w:i/>
          <w:iCs/>
        </w:rPr>
        <w:t>s</w:t>
      </w:r>
      <w:r w:rsidR="00A91170">
        <w:rPr>
          <w:rFonts w:ascii="Times New Roman" w:hAnsi="Times New Roman" w:cs="Times New Roman"/>
          <w:i/>
          <w:iCs/>
        </w:rPr>
        <w:t>.</w:t>
      </w:r>
      <w:r w:rsidRPr="00AD669A">
        <w:rPr>
          <w:rFonts w:ascii="Times New Roman" w:hAnsi="Times New Roman" w:cs="Times New Roman"/>
          <w:i/>
          <w:iCs/>
        </w:rPr>
        <w:t xml:space="preserve"> 10 can, in that context, have regard to Article 10 and the interests protected by it. That appears to me to be the irreducible minimum if </w:t>
      </w:r>
      <w:r w:rsidR="00A91170">
        <w:rPr>
          <w:rFonts w:ascii="Times New Roman" w:hAnsi="Times New Roman" w:cs="Times New Roman"/>
          <w:i/>
          <w:iCs/>
        </w:rPr>
        <w:t>s.</w:t>
      </w:r>
      <w:r w:rsidRPr="00AD669A">
        <w:rPr>
          <w:rFonts w:ascii="Times New Roman" w:hAnsi="Times New Roman" w:cs="Times New Roman"/>
          <w:i/>
          <w:iCs/>
        </w:rPr>
        <w:t xml:space="preserve"> 10 is to be capable of operating in a manner compatible with the State</w:t>
      </w:r>
      <w:r w:rsidR="00A91170">
        <w:rPr>
          <w:rFonts w:ascii="Times New Roman" w:hAnsi="Times New Roman" w:cs="Times New Roman"/>
          <w:i/>
          <w:iCs/>
        </w:rPr>
        <w:t>’</w:t>
      </w:r>
      <w:r w:rsidRPr="00AD669A">
        <w:rPr>
          <w:rFonts w:ascii="Times New Roman" w:hAnsi="Times New Roman" w:cs="Times New Roman"/>
          <w:i/>
          <w:iCs/>
        </w:rPr>
        <w:t xml:space="preserve">s ECHR obligations. Of course, </w:t>
      </w:r>
      <w:r w:rsidR="00196724">
        <w:rPr>
          <w:rFonts w:ascii="Times New Roman" w:hAnsi="Times New Roman" w:cs="Times New Roman"/>
          <w:i/>
          <w:iCs/>
        </w:rPr>
        <w:t>s</w:t>
      </w:r>
      <w:r w:rsidR="00A91170">
        <w:rPr>
          <w:rFonts w:ascii="Times New Roman" w:hAnsi="Times New Roman" w:cs="Times New Roman"/>
          <w:i/>
          <w:iCs/>
        </w:rPr>
        <w:t>.</w:t>
      </w:r>
      <w:r w:rsidRPr="00AD669A">
        <w:rPr>
          <w:rFonts w:ascii="Times New Roman" w:hAnsi="Times New Roman" w:cs="Times New Roman"/>
          <w:i/>
          <w:iCs/>
        </w:rPr>
        <w:t xml:space="preserve"> 10 makes no reference to Article 10. Equally, however, it makes no reference to the protection of the dwelling-house or to rights of privacy but </w:t>
      </w:r>
      <w:proofErr w:type="gramStart"/>
      <w:r w:rsidRPr="00AD669A">
        <w:rPr>
          <w:rFonts w:ascii="Times New Roman" w:hAnsi="Times New Roman" w:cs="Times New Roman"/>
          <w:i/>
          <w:iCs/>
        </w:rPr>
        <w:t>it is clear that such</w:t>
      </w:r>
      <w:proofErr w:type="gramEnd"/>
      <w:r w:rsidRPr="00AD669A">
        <w:rPr>
          <w:rFonts w:ascii="Times New Roman" w:hAnsi="Times New Roman" w:cs="Times New Roman"/>
          <w:i/>
          <w:iCs/>
        </w:rPr>
        <w:t xml:space="preserve"> interests must be </w:t>
      </w:r>
      <w:proofErr w:type="gramStart"/>
      <w:r w:rsidRPr="00AD669A">
        <w:rPr>
          <w:rFonts w:ascii="Times New Roman" w:hAnsi="Times New Roman" w:cs="Times New Roman"/>
          <w:i/>
          <w:iCs/>
        </w:rPr>
        <w:t>taken into account</w:t>
      </w:r>
      <w:proofErr w:type="gramEnd"/>
      <w:r w:rsidRPr="00AD669A">
        <w:rPr>
          <w:rFonts w:ascii="Times New Roman" w:hAnsi="Times New Roman" w:cs="Times New Roman"/>
          <w:i/>
          <w:iCs/>
        </w:rPr>
        <w:t xml:space="preserve"> where relevant in assessing whether to issue a search warrant (</w:t>
      </w:r>
      <w:proofErr w:type="spellStart"/>
      <w:r w:rsidRPr="00A91170">
        <w:rPr>
          <w:rFonts w:ascii="Times New Roman" w:hAnsi="Times New Roman" w:cs="Times New Roman"/>
        </w:rPr>
        <w:t>Damache</w:t>
      </w:r>
      <w:proofErr w:type="spellEnd"/>
      <w:r w:rsidR="004022A8">
        <w:rPr>
          <w:rFonts w:ascii="Times New Roman" w:hAnsi="Times New Roman" w:cs="Times New Roman"/>
        </w:rPr>
        <w:t xml:space="preserve">, </w:t>
      </w:r>
      <w:r w:rsidRPr="00A91170">
        <w:rPr>
          <w:rFonts w:ascii="Times New Roman" w:hAnsi="Times New Roman" w:cs="Times New Roman"/>
        </w:rPr>
        <w:t>Quirke</w:t>
      </w:r>
      <w:r w:rsidRPr="00AD669A">
        <w:rPr>
          <w:rFonts w:ascii="Times New Roman" w:hAnsi="Times New Roman" w:cs="Times New Roman"/>
          <w:i/>
          <w:iCs/>
        </w:rPr>
        <w:t>).</w:t>
      </w:r>
    </w:p>
    <w:p w14:paraId="29C02392" w14:textId="777BC56F" w:rsidR="00400989" w:rsidRDefault="00A91170" w:rsidP="00824073">
      <w:pPr>
        <w:pStyle w:val="ListParagraph"/>
        <w:spacing w:line="360" w:lineRule="auto"/>
        <w:jc w:val="both"/>
        <w:rPr>
          <w:rFonts w:ascii="Times New Roman" w:hAnsi="Times New Roman" w:cs="Times New Roman"/>
        </w:rPr>
      </w:pPr>
      <w:r>
        <w:rPr>
          <w:rFonts w:ascii="Times New Roman" w:hAnsi="Times New Roman" w:cs="Times New Roman"/>
          <w:i/>
          <w:iCs/>
        </w:rPr>
        <w:t>155</w:t>
      </w:r>
      <w:r w:rsidR="005B039A" w:rsidRPr="00AD669A">
        <w:rPr>
          <w:rFonts w:ascii="Times New Roman" w:hAnsi="Times New Roman" w:cs="Times New Roman"/>
          <w:i/>
          <w:iCs/>
        </w:rPr>
        <w:t xml:space="preserve">. That </w:t>
      </w:r>
      <w:r>
        <w:rPr>
          <w:rFonts w:ascii="Times New Roman" w:hAnsi="Times New Roman" w:cs="Times New Roman"/>
          <w:i/>
          <w:iCs/>
        </w:rPr>
        <w:t>s.</w:t>
      </w:r>
      <w:r w:rsidR="005B039A" w:rsidRPr="00AD669A">
        <w:rPr>
          <w:rFonts w:ascii="Times New Roman" w:hAnsi="Times New Roman" w:cs="Times New Roman"/>
          <w:i/>
          <w:iCs/>
        </w:rPr>
        <w:t xml:space="preserve"> 10 can and should be interpreted </w:t>
      </w:r>
      <w:proofErr w:type="gramStart"/>
      <w:r w:rsidR="005B039A" w:rsidRPr="00AD669A">
        <w:rPr>
          <w:rFonts w:ascii="Times New Roman" w:hAnsi="Times New Roman" w:cs="Times New Roman"/>
          <w:i/>
          <w:iCs/>
        </w:rPr>
        <w:t>so as to</w:t>
      </w:r>
      <w:proofErr w:type="gramEnd"/>
      <w:r w:rsidR="005B039A" w:rsidRPr="00AD669A">
        <w:rPr>
          <w:rFonts w:ascii="Times New Roman" w:hAnsi="Times New Roman" w:cs="Times New Roman"/>
          <w:i/>
          <w:iCs/>
        </w:rPr>
        <w:t xml:space="preserve"> enable – and, in appropriate circumstances, require – a judge to whom an application for a search warrant is made to have regard to Article 10 was not, as I understand it, contested at the hearing of the appeal. While disputing that </w:t>
      </w:r>
      <w:r>
        <w:rPr>
          <w:rFonts w:ascii="Times New Roman" w:hAnsi="Times New Roman" w:cs="Times New Roman"/>
          <w:i/>
          <w:iCs/>
        </w:rPr>
        <w:t>s.</w:t>
      </w:r>
      <w:r w:rsidR="005B039A" w:rsidRPr="00AD669A">
        <w:rPr>
          <w:rFonts w:ascii="Times New Roman" w:hAnsi="Times New Roman" w:cs="Times New Roman"/>
          <w:i/>
          <w:iCs/>
        </w:rPr>
        <w:t xml:space="preserve"> 10 could properly be read as the Court of Appeal had read it (an issue to which I will return) Counsel for the Director accepted that, having regard to </w:t>
      </w:r>
      <w:proofErr w:type="spellStart"/>
      <w:r w:rsidR="005B039A" w:rsidRPr="00A91170">
        <w:rPr>
          <w:rFonts w:ascii="Times New Roman" w:hAnsi="Times New Roman" w:cs="Times New Roman"/>
        </w:rPr>
        <w:t>Damache</w:t>
      </w:r>
      <w:proofErr w:type="spellEnd"/>
      <w:r w:rsidR="005B039A" w:rsidRPr="00AD669A">
        <w:rPr>
          <w:rFonts w:ascii="Times New Roman" w:hAnsi="Times New Roman" w:cs="Times New Roman"/>
          <w:i/>
          <w:iCs/>
        </w:rPr>
        <w:t>, the judge here was entitled to have some regard to Article 10  and the protection afforded to journalistic material in considering whether it was proportionate to issue a warrant. But irrespective of the stance taken by the Director, the legal position is, in my view, clear.</w:t>
      </w:r>
      <w:r w:rsidR="00400989">
        <w:rPr>
          <w:rFonts w:ascii="Times New Roman" w:hAnsi="Times New Roman" w:cs="Times New Roman"/>
          <w:i/>
          <w:iCs/>
        </w:rPr>
        <w:t xml:space="preserve"> </w:t>
      </w:r>
      <w:r w:rsidR="003A3C12">
        <w:rPr>
          <w:rFonts w:ascii="Times New Roman" w:hAnsi="Times New Roman" w:cs="Times New Roman"/>
        </w:rPr>
        <w:t>[Emphasis added]</w:t>
      </w:r>
    </w:p>
    <w:p w14:paraId="35E1FA47" w14:textId="77777777" w:rsidR="00400989" w:rsidRDefault="00400989" w:rsidP="00824073">
      <w:pPr>
        <w:spacing w:line="360" w:lineRule="auto"/>
        <w:jc w:val="both"/>
        <w:rPr>
          <w:rFonts w:ascii="Times New Roman" w:hAnsi="Times New Roman" w:cs="Times New Roman"/>
        </w:rPr>
      </w:pPr>
    </w:p>
    <w:p w14:paraId="5274967C" w14:textId="6A1686DB" w:rsidR="00400989" w:rsidRPr="008A62B9" w:rsidRDefault="00B56966" w:rsidP="00824073">
      <w:pPr>
        <w:pStyle w:val="ListParagraph"/>
        <w:numPr>
          <w:ilvl w:val="0"/>
          <w:numId w:val="1"/>
        </w:numPr>
        <w:spacing w:line="360" w:lineRule="auto"/>
        <w:jc w:val="both"/>
        <w:rPr>
          <w:rFonts w:ascii="Times New Roman" w:eastAsia="Times New Roman" w:hAnsi="Times New Roman" w:cs="Times New Roman"/>
          <w:lang w:val="en-GB" w:eastAsia="en-GB"/>
        </w:rPr>
      </w:pPr>
      <w:r>
        <w:rPr>
          <w:rFonts w:ascii="Times New Roman" w:hAnsi="Times New Roman" w:cs="Times New Roman"/>
        </w:rPr>
        <w:t>T</w:t>
      </w:r>
      <w:r w:rsidR="005B039A" w:rsidRPr="008A62B9">
        <w:rPr>
          <w:rFonts w:ascii="Times New Roman" w:hAnsi="Times New Roman" w:cs="Times New Roman"/>
        </w:rPr>
        <w:t>his gives rise to two propositions</w:t>
      </w:r>
      <w:r>
        <w:rPr>
          <w:rFonts w:ascii="Times New Roman" w:hAnsi="Times New Roman" w:cs="Times New Roman"/>
        </w:rPr>
        <w:t>, once these rights are engaged</w:t>
      </w:r>
      <w:r w:rsidR="005B039A" w:rsidRPr="008A62B9">
        <w:rPr>
          <w:rFonts w:ascii="Times New Roman" w:hAnsi="Times New Roman" w:cs="Times New Roman"/>
        </w:rPr>
        <w:t>. First, tha</w:t>
      </w:r>
      <w:r w:rsidR="008A62B9" w:rsidRPr="008A62B9">
        <w:rPr>
          <w:rFonts w:ascii="Times New Roman" w:hAnsi="Times New Roman" w:cs="Times New Roman"/>
        </w:rPr>
        <w:t>t</w:t>
      </w:r>
      <w:r w:rsidR="005B039A" w:rsidRPr="008A62B9">
        <w:rPr>
          <w:rFonts w:ascii="Times New Roman" w:hAnsi="Times New Roman" w:cs="Times New Roman"/>
        </w:rPr>
        <w:t xml:space="preserve"> there was an interpretive obligation on the Circuit Court to interpret section 11 of the 1994 Act</w:t>
      </w:r>
      <w:r w:rsidR="004022A8" w:rsidRPr="008A62B9">
        <w:rPr>
          <w:rFonts w:ascii="Times New Roman" w:hAnsi="Times New Roman" w:cs="Times New Roman"/>
        </w:rPr>
        <w:t>,</w:t>
      </w:r>
      <w:r w:rsidR="005B039A" w:rsidRPr="008A62B9">
        <w:rPr>
          <w:rFonts w:ascii="Times New Roman" w:hAnsi="Times New Roman" w:cs="Times New Roman"/>
        </w:rPr>
        <w:t xml:space="preserve"> and the defence advanced by the Appellant, </w:t>
      </w:r>
      <w:proofErr w:type="gramStart"/>
      <w:r w:rsidR="005B039A" w:rsidRPr="008A62B9">
        <w:rPr>
          <w:rFonts w:ascii="Times New Roman" w:hAnsi="Times New Roman" w:cs="Times New Roman"/>
        </w:rPr>
        <w:t>in light of</w:t>
      </w:r>
      <w:proofErr w:type="gramEnd"/>
      <w:r w:rsidR="005B039A" w:rsidRPr="008A62B9">
        <w:rPr>
          <w:rFonts w:ascii="Times New Roman" w:hAnsi="Times New Roman" w:cs="Times New Roman"/>
        </w:rPr>
        <w:t xml:space="preserve"> the provisions of Articles 10 and 11 </w:t>
      </w:r>
      <w:r w:rsidR="004022A8" w:rsidRPr="008A62B9">
        <w:rPr>
          <w:rFonts w:ascii="Times New Roman" w:hAnsi="Times New Roman" w:cs="Times New Roman"/>
        </w:rPr>
        <w:t xml:space="preserve">of the </w:t>
      </w:r>
      <w:r w:rsidR="005B039A" w:rsidRPr="008A62B9">
        <w:rPr>
          <w:rFonts w:ascii="Times New Roman" w:hAnsi="Times New Roman" w:cs="Times New Roman"/>
        </w:rPr>
        <w:t>ECHR. The Judge’s charge to the jury would presumably reflect this. The second proposition that appears to flow from s</w:t>
      </w:r>
      <w:r w:rsidR="00400989" w:rsidRPr="008A62B9">
        <w:rPr>
          <w:rFonts w:ascii="Times New Roman" w:hAnsi="Times New Roman" w:cs="Times New Roman"/>
        </w:rPr>
        <w:t xml:space="preserve">ection </w:t>
      </w:r>
      <w:r w:rsidR="005B039A" w:rsidRPr="008A62B9">
        <w:rPr>
          <w:rFonts w:ascii="Times New Roman" w:hAnsi="Times New Roman" w:cs="Times New Roman"/>
        </w:rPr>
        <w:t>2 of the 2003 Act is that, for present purposes, there is an interpretive obligation on this Court in th</w:t>
      </w:r>
      <w:r w:rsidR="00A91170" w:rsidRPr="008A62B9">
        <w:rPr>
          <w:rFonts w:ascii="Times New Roman" w:hAnsi="Times New Roman" w:cs="Times New Roman"/>
        </w:rPr>
        <w:t>is</w:t>
      </w:r>
      <w:r w:rsidR="005B039A" w:rsidRPr="008A62B9">
        <w:rPr>
          <w:rFonts w:ascii="Times New Roman" w:hAnsi="Times New Roman" w:cs="Times New Roman"/>
        </w:rPr>
        <w:t xml:space="preserve"> </w:t>
      </w:r>
      <w:r w:rsidR="004022A8" w:rsidRPr="008A62B9">
        <w:rPr>
          <w:rFonts w:ascii="Times New Roman" w:hAnsi="Times New Roman" w:cs="Times New Roman"/>
        </w:rPr>
        <w:t>A</w:t>
      </w:r>
      <w:r w:rsidR="005B039A" w:rsidRPr="008A62B9">
        <w:rPr>
          <w:rFonts w:ascii="Times New Roman" w:hAnsi="Times New Roman" w:cs="Times New Roman"/>
        </w:rPr>
        <w:t xml:space="preserve">ppeal to consider the interpretation of section 11 of the 1994 Act and the defence of necessity as advanced by the Appellant, in light of the provisions of Articles 10 and 11 </w:t>
      </w:r>
      <w:r w:rsidR="00234736">
        <w:rPr>
          <w:rFonts w:ascii="Times New Roman" w:hAnsi="Times New Roman" w:cs="Times New Roman"/>
        </w:rPr>
        <w:t xml:space="preserve">of the </w:t>
      </w:r>
      <w:r w:rsidR="005B039A" w:rsidRPr="008A62B9">
        <w:rPr>
          <w:rFonts w:ascii="Times New Roman" w:hAnsi="Times New Roman" w:cs="Times New Roman"/>
        </w:rPr>
        <w:t xml:space="preserve">ECHR. </w:t>
      </w:r>
    </w:p>
    <w:p w14:paraId="595B1BF7" w14:textId="77777777" w:rsidR="00400989" w:rsidRPr="004022A8" w:rsidRDefault="00400989" w:rsidP="004022A8">
      <w:pPr>
        <w:spacing w:line="360" w:lineRule="auto"/>
        <w:jc w:val="both"/>
        <w:rPr>
          <w:rFonts w:ascii="Times New Roman" w:eastAsia="Times New Roman" w:hAnsi="Times New Roman" w:cs="Times New Roman"/>
          <w:lang w:val="en-GB" w:eastAsia="en-GB"/>
        </w:rPr>
      </w:pPr>
    </w:p>
    <w:p w14:paraId="4E3A1957" w14:textId="77777777" w:rsidR="00234736" w:rsidRPr="00234736" w:rsidRDefault="005B039A" w:rsidP="00234736">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 xml:space="preserve">It is also notable that in </w:t>
      </w:r>
      <w:r w:rsidRPr="00400989">
        <w:rPr>
          <w:rFonts w:ascii="Times New Roman" w:hAnsi="Times New Roman" w:cs="Times New Roman"/>
          <w:b/>
          <w:bCs/>
          <w:i/>
          <w:iCs/>
        </w:rPr>
        <w:t>Corcoran</w:t>
      </w:r>
      <w:r w:rsidRPr="00400989">
        <w:rPr>
          <w:rFonts w:ascii="Times New Roman" w:hAnsi="Times New Roman" w:cs="Times New Roman"/>
        </w:rPr>
        <w:t xml:space="preserve"> Collins J</w:t>
      </w:r>
      <w:r w:rsidR="00400989">
        <w:rPr>
          <w:rFonts w:ascii="Times New Roman" w:hAnsi="Times New Roman" w:cs="Times New Roman"/>
        </w:rPr>
        <w:t>.</w:t>
      </w:r>
      <w:r w:rsidRPr="00400989">
        <w:rPr>
          <w:rFonts w:ascii="Times New Roman" w:hAnsi="Times New Roman" w:cs="Times New Roman"/>
        </w:rPr>
        <w:t xml:space="preserve"> concluded that it was appropriate for the Court to depart from its “</w:t>
      </w:r>
      <w:r w:rsidRPr="00400989">
        <w:rPr>
          <w:rFonts w:ascii="Times New Roman" w:hAnsi="Times New Roman" w:cs="Times New Roman"/>
          <w:i/>
          <w:iCs/>
        </w:rPr>
        <w:t xml:space="preserve">general approach” </w:t>
      </w:r>
      <w:r w:rsidRPr="00400989">
        <w:rPr>
          <w:rFonts w:ascii="Times New Roman" w:hAnsi="Times New Roman" w:cs="Times New Roman"/>
        </w:rPr>
        <w:t>in terms of the priority of the Const</w:t>
      </w:r>
      <w:r w:rsidR="004022A8">
        <w:rPr>
          <w:rFonts w:ascii="Times New Roman" w:hAnsi="Times New Roman" w:cs="Times New Roman"/>
        </w:rPr>
        <w:t>itu</w:t>
      </w:r>
      <w:r w:rsidRPr="00400989">
        <w:rPr>
          <w:rFonts w:ascii="Times New Roman" w:hAnsi="Times New Roman" w:cs="Times New Roman"/>
        </w:rPr>
        <w:t xml:space="preserve">tion and </w:t>
      </w:r>
      <w:r w:rsidR="00A91170">
        <w:rPr>
          <w:rFonts w:ascii="Times New Roman" w:hAnsi="Times New Roman" w:cs="Times New Roman"/>
        </w:rPr>
        <w:t>the ECHR</w:t>
      </w:r>
      <w:r w:rsidR="00234736">
        <w:rPr>
          <w:rFonts w:ascii="Times New Roman" w:hAnsi="Times New Roman" w:cs="Times New Roman"/>
        </w:rPr>
        <w:t>,</w:t>
      </w:r>
      <w:r w:rsidRPr="00400989">
        <w:rPr>
          <w:rFonts w:ascii="Times New Roman" w:hAnsi="Times New Roman" w:cs="Times New Roman"/>
        </w:rPr>
        <w:t xml:space="preserve"> and to consider the jurisprudence under the latter in the first instance.</w:t>
      </w:r>
      <w:r w:rsidRPr="00AD669A">
        <w:rPr>
          <w:rStyle w:val="FootnoteReference"/>
          <w:rFonts w:ascii="Times New Roman" w:hAnsi="Times New Roman" w:cs="Times New Roman"/>
        </w:rPr>
        <w:footnoteReference w:id="5"/>
      </w:r>
      <w:r w:rsidRPr="00400989">
        <w:rPr>
          <w:rFonts w:ascii="Times New Roman" w:hAnsi="Times New Roman" w:cs="Times New Roman"/>
        </w:rPr>
        <w:t xml:space="preserve"> This arose in circumstances where the Strasbourg jurisprudence on the protection of journalistic sources (under Article 10 </w:t>
      </w:r>
      <w:r w:rsidR="00234736">
        <w:rPr>
          <w:rFonts w:ascii="Times New Roman" w:hAnsi="Times New Roman" w:cs="Times New Roman"/>
        </w:rPr>
        <w:t xml:space="preserve">of the </w:t>
      </w:r>
      <w:r w:rsidRPr="00400989">
        <w:rPr>
          <w:rFonts w:ascii="Times New Roman" w:hAnsi="Times New Roman" w:cs="Times New Roman"/>
        </w:rPr>
        <w:t>ECHR) was “</w:t>
      </w:r>
      <w:r w:rsidRPr="00400989">
        <w:rPr>
          <w:rFonts w:ascii="Times New Roman" w:hAnsi="Times New Roman" w:cs="Times New Roman"/>
          <w:i/>
          <w:iCs/>
        </w:rPr>
        <w:t>well developed”</w:t>
      </w:r>
      <w:r w:rsidRPr="00400989">
        <w:rPr>
          <w:rFonts w:ascii="Times New Roman" w:hAnsi="Times New Roman" w:cs="Times New Roman"/>
        </w:rPr>
        <w:t xml:space="preserve"> in comparison </w:t>
      </w:r>
      <w:r w:rsidRPr="00400989">
        <w:rPr>
          <w:rFonts w:ascii="Times New Roman" w:hAnsi="Times New Roman" w:cs="Times New Roman"/>
        </w:rPr>
        <w:lastRenderedPageBreak/>
        <w:t>to that under Article 40.6.1.i which had “</w:t>
      </w:r>
      <w:r w:rsidRPr="00400989">
        <w:rPr>
          <w:rFonts w:ascii="Times New Roman" w:hAnsi="Times New Roman" w:cs="Times New Roman"/>
          <w:i/>
          <w:iCs/>
        </w:rPr>
        <w:t>been the subject of only limited judicial consideration and has never been considered by this Court.</w:t>
      </w:r>
      <w:r w:rsidRPr="00400989">
        <w:rPr>
          <w:rFonts w:ascii="Times New Roman" w:hAnsi="Times New Roman" w:cs="Times New Roman"/>
        </w:rPr>
        <w:t>”</w:t>
      </w:r>
      <w:r w:rsidRPr="00AD669A">
        <w:rPr>
          <w:rStyle w:val="FootnoteReference"/>
          <w:rFonts w:ascii="Times New Roman" w:hAnsi="Times New Roman" w:cs="Times New Roman"/>
        </w:rPr>
        <w:footnoteReference w:id="6"/>
      </w:r>
      <w:r w:rsidR="00EF06FE">
        <w:rPr>
          <w:rFonts w:ascii="Times New Roman" w:hAnsi="Times New Roman" w:cs="Times New Roman"/>
        </w:rPr>
        <w:t xml:space="preserve"> </w:t>
      </w:r>
    </w:p>
    <w:p w14:paraId="25EB07E2" w14:textId="77777777" w:rsidR="00234736" w:rsidRPr="00234736" w:rsidRDefault="00234736" w:rsidP="00234736">
      <w:pPr>
        <w:pStyle w:val="ListParagraph"/>
        <w:rPr>
          <w:rFonts w:ascii="Times New Roman" w:hAnsi="Times New Roman" w:cs="Times New Roman"/>
        </w:rPr>
      </w:pPr>
    </w:p>
    <w:p w14:paraId="51711A8C" w14:textId="7B10CA9E" w:rsidR="00400989" w:rsidRPr="00234736" w:rsidRDefault="00EF06FE" w:rsidP="00234736">
      <w:pPr>
        <w:pStyle w:val="ListParagraph"/>
        <w:numPr>
          <w:ilvl w:val="0"/>
          <w:numId w:val="1"/>
        </w:numPr>
        <w:spacing w:line="360" w:lineRule="auto"/>
        <w:jc w:val="both"/>
        <w:rPr>
          <w:rFonts w:ascii="Times New Roman" w:eastAsia="Times New Roman" w:hAnsi="Times New Roman" w:cs="Times New Roman"/>
          <w:lang w:val="en-GB" w:eastAsia="en-GB"/>
        </w:rPr>
      </w:pPr>
      <w:r w:rsidRPr="00234736">
        <w:rPr>
          <w:rFonts w:ascii="Times New Roman" w:hAnsi="Times New Roman" w:cs="Times New Roman"/>
        </w:rPr>
        <w:t xml:space="preserve">In the Commission’s respectful </w:t>
      </w:r>
      <w:proofErr w:type="gramStart"/>
      <w:r w:rsidRPr="00234736">
        <w:rPr>
          <w:rFonts w:ascii="Times New Roman" w:hAnsi="Times New Roman" w:cs="Times New Roman"/>
        </w:rPr>
        <w:t>submission</w:t>
      </w:r>
      <w:proofErr w:type="gramEnd"/>
      <w:r w:rsidRPr="00234736">
        <w:rPr>
          <w:rFonts w:ascii="Times New Roman" w:hAnsi="Times New Roman" w:cs="Times New Roman"/>
        </w:rPr>
        <w:t xml:space="preserve"> the </w:t>
      </w:r>
      <w:r w:rsidR="00311AAE" w:rsidRPr="00234736">
        <w:rPr>
          <w:rFonts w:ascii="Times New Roman" w:hAnsi="Times New Roman" w:cs="Times New Roman"/>
        </w:rPr>
        <w:t xml:space="preserve">protections of the Constitution cannot be any </w:t>
      </w:r>
      <w:r w:rsidR="00311AAE" w:rsidRPr="00234736">
        <w:rPr>
          <w:rFonts w:ascii="Times New Roman" w:hAnsi="Times New Roman" w:cs="Times New Roman"/>
          <w:i/>
          <w:iCs/>
        </w:rPr>
        <w:t>lesser</w:t>
      </w:r>
      <w:r w:rsidR="00311AAE" w:rsidRPr="00234736">
        <w:rPr>
          <w:rFonts w:ascii="Times New Roman" w:hAnsi="Times New Roman" w:cs="Times New Roman"/>
        </w:rPr>
        <w:t xml:space="preserve"> than those offered by the </w:t>
      </w:r>
      <w:r w:rsidR="004022A8" w:rsidRPr="00234736">
        <w:rPr>
          <w:rFonts w:ascii="Times New Roman" w:hAnsi="Times New Roman" w:cs="Times New Roman"/>
        </w:rPr>
        <w:t>ECHR</w:t>
      </w:r>
      <w:r w:rsidR="009454F7" w:rsidRPr="00234736">
        <w:rPr>
          <w:rFonts w:ascii="Times New Roman" w:hAnsi="Times New Roman" w:cs="Times New Roman"/>
        </w:rPr>
        <w:t xml:space="preserve">, absent a </w:t>
      </w:r>
      <w:r w:rsidR="000D7E45" w:rsidRPr="00234736">
        <w:rPr>
          <w:rFonts w:ascii="Times New Roman" w:hAnsi="Times New Roman" w:cs="Times New Roman"/>
        </w:rPr>
        <w:t>fundamental</w:t>
      </w:r>
      <w:r w:rsidR="009454F7" w:rsidRPr="00234736">
        <w:rPr>
          <w:rFonts w:ascii="Times New Roman" w:hAnsi="Times New Roman" w:cs="Times New Roman"/>
        </w:rPr>
        <w:t xml:space="preserve"> difference in language</w:t>
      </w:r>
      <w:r w:rsidR="000D7E45" w:rsidRPr="00234736">
        <w:rPr>
          <w:rFonts w:ascii="Times New Roman" w:hAnsi="Times New Roman" w:cs="Times New Roman"/>
        </w:rPr>
        <w:t xml:space="preserve"> or content </w:t>
      </w:r>
      <w:r w:rsidR="0022188C" w:rsidRPr="00234736">
        <w:rPr>
          <w:rFonts w:ascii="Times New Roman" w:hAnsi="Times New Roman" w:cs="Times New Roman"/>
        </w:rPr>
        <w:t>between the two documents</w:t>
      </w:r>
      <w:r w:rsidR="009454F7" w:rsidRPr="00234736">
        <w:rPr>
          <w:rFonts w:ascii="Times New Roman" w:hAnsi="Times New Roman" w:cs="Times New Roman"/>
        </w:rPr>
        <w:t xml:space="preserve"> such that </w:t>
      </w:r>
      <w:r w:rsidR="0022188C" w:rsidRPr="00234736">
        <w:rPr>
          <w:rFonts w:ascii="Times New Roman" w:hAnsi="Times New Roman" w:cs="Times New Roman"/>
        </w:rPr>
        <w:t xml:space="preserve">the </w:t>
      </w:r>
      <w:r w:rsidR="000D7E45" w:rsidRPr="00234736">
        <w:rPr>
          <w:rFonts w:ascii="Times New Roman" w:hAnsi="Times New Roman" w:cs="Times New Roman"/>
        </w:rPr>
        <w:t xml:space="preserve">interpretation would do violence to the </w:t>
      </w:r>
      <w:r w:rsidR="0022188C" w:rsidRPr="00234736">
        <w:rPr>
          <w:rFonts w:ascii="Times New Roman" w:hAnsi="Times New Roman" w:cs="Times New Roman"/>
        </w:rPr>
        <w:t>constitutional</w:t>
      </w:r>
      <w:r w:rsidR="000D7E45" w:rsidRPr="00234736">
        <w:rPr>
          <w:rFonts w:ascii="Times New Roman" w:hAnsi="Times New Roman" w:cs="Times New Roman"/>
        </w:rPr>
        <w:t xml:space="preserve"> provision in question.</w:t>
      </w:r>
      <w:r w:rsidR="00836874" w:rsidRPr="00234736">
        <w:rPr>
          <w:rFonts w:ascii="Times New Roman" w:hAnsi="Times New Roman" w:cs="Times New Roman"/>
        </w:rPr>
        <w:t xml:space="preserve"> </w:t>
      </w:r>
      <w:r w:rsidR="0001410D" w:rsidRPr="00234736">
        <w:rPr>
          <w:rFonts w:ascii="Times New Roman" w:hAnsi="Times New Roman" w:cs="Times New Roman"/>
        </w:rPr>
        <w:t xml:space="preserve">The substantive case law of the ECtHR will be addressed in due course but the </w:t>
      </w:r>
      <w:r w:rsidR="004022A8" w:rsidRPr="00234736">
        <w:rPr>
          <w:rFonts w:ascii="Times New Roman" w:hAnsi="Times New Roman" w:cs="Times New Roman"/>
        </w:rPr>
        <w:t>primacy of t</w:t>
      </w:r>
      <w:r w:rsidR="0001410D" w:rsidRPr="00234736">
        <w:rPr>
          <w:rFonts w:ascii="Times New Roman" w:hAnsi="Times New Roman" w:cs="Times New Roman"/>
        </w:rPr>
        <w:t xml:space="preserve">he Constitution </w:t>
      </w:r>
      <w:r w:rsidR="004022A8" w:rsidRPr="00234736">
        <w:rPr>
          <w:rFonts w:ascii="Times New Roman" w:hAnsi="Times New Roman" w:cs="Times New Roman"/>
        </w:rPr>
        <w:t>over the ECHR</w:t>
      </w:r>
      <w:r w:rsidR="0001410D" w:rsidRPr="00234736">
        <w:rPr>
          <w:rFonts w:ascii="Times New Roman" w:hAnsi="Times New Roman" w:cs="Times New Roman"/>
        </w:rPr>
        <w:t xml:space="preserve"> </w:t>
      </w:r>
      <w:r w:rsidR="004022A8" w:rsidRPr="00234736">
        <w:rPr>
          <w:rFonts w:ascii="Times New Roman" w:hAnsi="Times New Roman" w:cs="Times New Roman"/>
        </w:rPr>
        <w:t>is acknowledged, albeit that this may be a case where the principles established by the ECtHR are an appropriate starting point.</w:t>
      </w:r>
    </w:p>
    <w:p w14:paraId="7B1451EF" w14:textId="77777777" w:rsidR="00400989" w:rsidRPr="004022A8" w:rsidRDefault="00400989" w:rsidP="004022A8">
      <w:pPr>
        <w:spacing w:line="360" w:lineRule="auto"/>
        <w:rPr>
          <w:rFonts w:ascii="Times New Roman" w:hAnsi="Times New Roman" w:cs="Times New Roman"/>
        </w:rPr>
      </w:pPr>
    </w:p>
    <w:p w14:paraId="6A3D9122" w14:textId="1433BA20" w:rsidR="00F43992" w:rsidRPr="00F43992" w:rsidRDefault="005B039A" w:rsidP="00F43992">
      <w:pPr>
        <w:pStyle w:val="ListParagraph"/>
        <w:numPr>
          <w:ilvl w:val="0"/>
          <w:numId w:val="1"/>
        </w:numPr>
        <w:spacing w:line="360" w:lineRule="auto"/>
        <w:jc w:val="both"/>
        <w:rPr>
          <w:rFonts w:ascii="Times New Roman" w:eastAsia="Times New Roman" w:hAnsi="Times New Roman" w:cs="Times New Roman"/>
          <w:lang w:val="en-GB" w:eastAsia="en-GB"/>
        </w:rPr>
      </w:pPr>
      <w:r w:rsidRPr="00400989">
        <w:rPr>
          <w:rFonts w:ascii="Times New Roman" w:hAnsi="Times New Roman" w:cs="Times New Roman"/>
        </w:rPr>
        <w:t xml:space="preserve">While there has been some judicial consideration of Articles 40.6.1.i and 40.6.1.ii in the context of acts of protest (for example </w:t>
      </w:r>
      <w:r w:rsidRPr="00400989">
        <w:rPr>
          <w:rFonts w:ascii="Times New Roman" w:hAnsi="Times New Roman" w:cs="Times New Roman"/>
          <w:b/>
          <w:bCs/>
          <w:i/>
          <w:iCs/>
        </w:rPr>
        <w:t>Hyland v</w:t>
      </w:r>
      <w:r w:rsidR="00400989">
        <w:rPr>
          <w:rFonts w:ascii="Times New Roman" w:hAnsi="Times New Roman" w:cs="Times New Roman"/>
          <w:b/>
          <w:bCs/>
          <w:i/>
          <w:iCs/>
        </w:rPr>
        <w:t>.</w:t>
      </w:r>
      <w:r w:rsidRPr="00400989">
        <w:rPr>
          <w:rFonts w:ascii="Times New Roman" w:hAnsi="Times New Roman" w:cs="Times New Roman"/>
          <w:b/>
          <w:bCs/>
          <w:i/>
          <w:iCs/>
        </w:rPr>
        <w:t xml:space="preserve"> Dundalk </w:t>
      </w:r>
      <w:r w:rsidRPr="00A91170">
        <w:rPr>
          <w:rFonts w:ascii="Times New Roman" w:hAnsi="Times New Roman" w:cs="Times New Roman"/>
          <w:b/>
          <w:bCs/>
          <w:i/>
          <w:iCs/>
        </w:rPr>
        <w:t xml:space="preserve">Racing </w:t>
      </w:r>
      <w:r w:rsidRPr="00A91170">
        <w:rPr>
          <w:rFonts w:ascii="Times New Roman" w:hAnsi="Times New Roman" w:cs="Times New Roman"/>
          <w:b/>
          <w:bCs/>
        </w:rPr>
        <w:t>(1999) Ltd</w:t>
      </w:r>
      <w:r w:rsidRPr="00400989">
        <w:rPr>
          <w:rFonts w:ascii="Times New Roman" w:hAnsi="Times New Roman" w:cs="Times New Roman"/>
        </w:rPr>
        <w:t xml:space="preserve"> [2014] IEHC 60</w:t>
      </w:r>
      <w:r w:rsidR="00A91170">
        <w:rPr>
          <w:rFonts w:ascii="Times New Roman" w:hAnsi="Times New Roman" w:cs="Times New Roman"/>
        </w:rPr>
        <w:t xml:space="preserve"> (‘</w:t>
      </w:r>
      <w:r w:rsidR="00A91170" w:rsidRPr="00A91170">
        <w:rPr>
          <w:rFonts w:ascii="Times New Roman" w:hAnsi="Times New Roman" w:cs="Times New Roman"/>
          <w:b/>
          <w:bCs/>
        </w:rPr>
        <w:t>Hyland</w:t>
      </w:r>
      <w:r w:rsidR="00A91170">
        <w:rPr>
          <w:rFonts w:ascii="Times New Roman" w:hAnsi="Times New Roman" w:cs="Times New Roman"/>
        </w:rPr>
        <w:t>’)</w:t>
      </w:r>
      <w:r w:rsidRPr="00400989">
        <w:rPr>
          <w:rFonts w:ascii="Times New Roman" w:hAnsi="Times New Roman" w:cs="Times New Roman"/>
        </w:rPr>
        <w:t>)</w:t>
      </w:r>
      <w:r w:rsidR="00400989">
        <w:rPr>
          <w:rFonts w:ascii="Times New Roman" w:hAnsi="Times New Roman" w:cs="Times New Roman"/>
        </w:rPr>
        <w:t>,</w:t>
      </w:r>
      <w:r w:rsidRPr="00400989">
        <w:rPr>
          <w:rFonts w:ascii="Times New Roman" w:hAnsi="Times New Roman" w:cs="Times New Roman"/>
        </w:rPr>
        <w:t xml:space="preserve"> the particular relationship between the exercise of rights of expression and assembly and the criminal law has not been the subject of extensive judicial consideration to date. It is, however</w:t>
      </w:r>
      <w:r w:rsidR="00400989">
        <w:rPr>
          <w:rFonts w:ascii="Times New Roman" w:hAnsi="Times New Roman" w:cs="Times New Roman"/>
        </w:rPr>
        <w:t>,</w:t>
      </w:r>
      <w:r w:rsidRPr="00400989">
        <w:rPr>
          <w:rFonts w:ascii="Times New Roman" w:hAnsi="Times New Roman" w:cs="Times New Roman"/>
        </w:rPr>
        <w:t xml:space="preserve"> a matter which the EC</w:t>
      </w:r>
      <w:r w:rsidR="00400989">
        <w:rPr>
          <w:rFonts w:ascii="Times New Roman" w:hAnsi="Times New Roman" w:cs="Times New Roman"/>
        </w:rPr>
        <w:t>t</w:t>
      </w:r>
      <w:r w:rsidRPr="00400989">
        <w:rPr>
          <w:rFonts w:ascii="Times New Roman" w:hAnsi="Times New Roman" w:cs="Times New Roman"/>
        </w:rPr>
        <w:t>HR has considered and</w:t>
      </w:r>
      <w:r w:rsidR="004022A8">
        <w:rPr>
          <w:rFonts w:ascii="Times New Roman" w:hAnsi="Times New Roman" w:cs="Times New Roman"/>
        </w:rPr>
        <w:t>, as referred to below,</w:t>
      </w:r>
      <w:r w:rsidRPr="00400989">
        <w:rPr>
          <w:rFonts w:ascii="Times New Roman" w:hAnsi="Times New Roman" w:cs="Times New Roman"/>
        </w:rPr>
        <w:t xml:space="preserve"> it has been considered in other jurisdictions also. </w:t>
      </w:r>
    </w:p>
    <w:p w14:paraId="48D9FBF7" w14:textId="77777777" w:rsidR="00F43992" w:rsidRPr="00F43992" w:rsidRDefault="00F43992" w:rsidP="00F43992">
      <w:pPr>
        <w:pStyle w:val="ListParagraph"/>
        <w:spacing w:line="360" w:lineRule="auto"/>
        <w:ind w:left="644"/>
        <w:jc w:val="both"/>
        <w:rPr>
          <w:rFonts w:ascii="Times New Roman" w:eastAsia="Times New Roman" w:hAnsi="Times New Roman" w:cs="Times New Roman"/>
          <w:lang w:val="en-GB" w:eastAsia="en-GB"/>
        </w:rPr>
      </w:pPr>
    </w:p>
    <w:p w14:paraId="6FF0BBF0" w14:textId="21FC95F1" w:rsidR="00F43992" w:rsidRPr="00F43992" w:rsidRDefault="00F43992" w:rsidP="00F43992">
      <w:pPr>
        <w:pStyle w:val="ListParagraph"/>
        <w:numPr>
          <w:ilvl w:val="0"/>
          <w:numId w:val="1"/>
        </w:numPr>
        <w:spacing w:line="360" w:lineRule="auto"/>
        <w:jc w:val="both"/>
        <w:rPr>
          <w:rFonts w:ascii="Times New Roman" w:eastAsia="Times New Roman" w:hAnsi="Times New Roman" w:cs="Times New Roman"/>
          <w:lang w:val="en-GB" w:eastAsia="en-GB"/>
        </w:rPr>
      </w:pPr>
      <w:r w:rsidRPr="00F43992">
        <w:rPr>
          <w:rFonts w:ascii="Times New Roman" w:hAnsi="Times New Roman" w:cs="Times New Roman"/>
        </w:rPr>
        <w:t xml:space="preserve">It is the Commission’s position that the engagement of Article 40.6.1.i is not so limited as to exclude acts of civil disobedience. Whilst it is acknowledged that in </w:t>
      </w:r>
      <w:r w:rsidRPr="00F43992">
        <w:rPr>
          <w:rFonts w:ascii="Times New Roman" w:hAnsi="Times New Roman" w:cs="Times New Roman"/>
          <w:b/>
          <w:bCs/>
          <w:i/>
          <w:iCs/>
        </w:rPr>
        <w:t>Hyland</w:t>
      </w:r>
      <w:r w:rsidRPr="00F43992">
        <w:rPr>
          <w:rFonts w:ascii="Times New Roman" w:hAnsi="Times New Roman" w:cs="Times New Roman"/>
        </w:rPr>
        <w:t xml:space="preserve">, Hogan J. placed particular emphasis on the lawfulness of the protest (see §87 in particular), the right may be interpreted more broadly. Indeed, it is appropriate to do so in circumstances where the freedoms of expression and peaceful assembly have received limited judicial scrutiny until recent years (see </w:t>
      </w:r>
      <w:r w:rsidRPr="00F43992">
        <w:rPr>
          <w:rFonts w:ascii="Times New Roman" w:hAnsi="Times New Roman" w:cs="Times New Roman"/>
          <w:b/>
          <w:bCs/>
          <w:i/>
          <w:iCs/>
        </w:rPr>
        <w:t>Corcoran</w:t>
      </w:r>
      <w:r w:rsidRPr="00F43992">
        <w:rPr>
          <w:rFonts w:ascii="Times New Roman" w:hAnsi="Times New Roman" w:cs="Times New Roman"/>
        </w:rPr>
        <w:t xml:space="preserve">) and where the guidance of this Court may be of assistance in future cases which engage, for example, the right to protest on environmental matters under the </w:t>
      </w:r>
      <w:proofErr w:type="spellStart"/>
      <w:r w:rsidRPr="00F43992">
        <w:rPr>
          <w:rFonts w:ascii="Times New Roman" w:hAnsi="Times New Roman" w:cs="Times New Roman"/>
        </w:rPr>
        <w:t>Aarhaus</w:t>
      </w:r>
      <w:proofErr w:type="spellEnd"/>
      <w:r w:rsidRPr="00F43992">
        <w:rPr>
          <w:rFonts w:ascii="Times New Roman" w:hAnsi="Times New Roman" w:cs="Times New Roman"/>
        </w:rPr>
        <w:t xml:space="preserve"> Convention. While these rights are not engaged in the present appeal, the State is bound by the obligations in relation to protest under Article 3(8) of the </w:t>
      </w:r>
      <w:proofErr w:type="spellStart"/>
      <w:r w:rsidRPr="00F43992">
        <w:rPr>
          <w:rFonts w:ascii="Times New Roman" w:hAnsi="Times New Roman" w:cs="Times New Roman"/>
        </w:rPr>
        <w:t>Aarhaus</w:t>
      </w:r>
      <w:proofErr w:type="spellEnd"/>
      <w:r w:rsidRPr="00F43992">
        <w:rPr>
          <w:rFonts w:ascii="Times New Roman" w:hAnsi="Times New Roman" w:cs="Times New Roman"/>
        </w:rPr>
        <w:t xml:space="preserve"> Convention, and it is important that guidance on the parameters of Article 40.6.1 is cognisant of protest in many diverse areas and allows for flexibility. The issue of climate change is a global one that is giving rise to cases in many jurisdictions: see, for example, (</w:t>
      </w:r>
      <w:proofErr w:type="spellStart"/>
      <w:r w:rsidRPr="00F43992">
        <w:rPr>
          <w:rFonts w:ascii="Times New Roman" w:hAnsi="Times New Roman" w:cs="Times New Roman"/>
        </w:rPr>
        <w:t>i</w:t>
      </w:r>
      <w:proofErr w:type="spellEnd"/>
      <w:r w:rsidRPr="00F43992">
        <w:rPr>
          <w:rFonts w:ascii="Times New Roman" w:hAnsi="Times New Roman" w:cs="Times New Roman"/>
        </w:rPr>
        <w:t>) “</w:t>
      </w:r>
      <w:r w:rsidRPr="00F43992">
        <w:rPr>
          <w:rFonts w:ascii="Times New Roman" w:hAnsi="Times New Roman" w:cs="Times New Roman"/>
          <w:i/>
          <w:iCs/>
        </w:rPr>
        <w:t>The necessity defence in (the Swiss) climate protest cases: Democratic contestation in the age of climate activism</w:t>
      </w:r>
      <w:r w:rsidRPr="00F43992">
        <w:rPr>
          <w:rFonts w:ascii="Times New Roman" w:hAnsi="Times New Roman" w:cs="Times New Roman"/>
        </w:rPr>
        <w:t xml:space="preserve">”, European Law Journal, </w:t>
      </w:r>
      <w:r w:rsidRPr="00F43992">
        <w:rPr>
          <w:rFonts w:ascii="Times New Roman" w:hAnsi="Times New Roman" w:cs="Times New Roman"/>
        </w:rPr>
        <w:lastRenderedPageBreak/>
        <w:t>2023, Vol. 29, pp.393–421</w:t>
      </w:r>
      <w:r w:rsidR="00234736">
        <w:rPr>
          <w:rFonts w:ascii="Times New Roman" w:hAnsi="Times New Roman" w:cs="Times New Roman"/>
        </w:rPr>
        <w:t xml:space="preserve"> and</w:t>
      </w:r>
      <w:r w:rsidRPr="00F43992">
        <w:rPr>
          <w:rFonts w:ascii="Times New Roman" w:hAnsi="Times New Roman" w:cs="Times New Roman"/>
        </w:rPr>
        <w:t xml:space="preserve"> (ii) Guidelines published by the UN Special Rapporteur on Environmental Defenders under the Aarhus Convention</w:t>
      </w:r>
      <w:r w:rsidRPr="00F43992">
        <w:rPr>
          <w:rStyle w:val="FootnoteReference"/>
          <w:rFonts w:ascii="Times New Roman" w:hAnsi="Times New Roman" w:cs="Times New Roman"/>
        </w:rPr>
        <w:t xml:space="preserve"> </w:t>
      </w:r>
      <w:r>
        <w:rPr>
          <w:rFonts w:ascii="Times New Roman" w:hAnsi="Times New Roman" w:cs="Times New Roman"/>
        </w:rPr>
        <w:t>in October 2025</w:t>
      </w:r>
      <w:r w:rsidR="00234736">
        <w:rPr>
          <w:rFonts w:ascii="Times New Roman" w:hAnsi="Times New Roman" w:cs="Times New Roman"/>
        </w:rPr>
        <w:t>.</w:t>
      </w:r>
      <w:r>
        <w:rPr>
          <w:rStyle w:val="FootnoteReference"/>
          <w:rFonts w:ascii="Times New Roman" w:hAnsi="Times New Roman" w:cs="Times New Roman"/>
        </w:rPr>
        <w:footnoteReference w:id="7"/>
      </w:r>
    </w:p>
    <w:p w14:paraId="61821471" w14:textId="77777777" w:rsidR="00F43992" w:rsidRPr="00F43992" w:rsidRDefault="00F43992" w:rsidP="00F43992">
      <w:pPr>
        <w:pStyle w:val="ListParagraph"/>
        <w:spacing w:line="360" w:lineRule="auto"/>
        <w:ind w:left="644"/>
        <w:jc w:val="both"/>
        <w:rPr>
          <w:rFonts w:ascii="Times New Roman" w:eastAsia="Times New Roman" w:hAnsi="Times New Roman" w:cs="Times New Roman"/>
          <w:lang w:val="en-GB" w:eastAsia="en-GB"/>
        </w:rPr>
      </w:pPr>
    </w:p>
    <w:p w14:paraId="356D4830" w14:textId="21C4DD17" w:rsidR="004E4925" w:rsidRPr="00F43992" w:rsidRDefault="00D67CA3" w:rsidP="00F43992">
      <w:pPr>
        <w:pStyle w:val="ListParagraph"/>
        <w:numPr>
          <w:ilvl w:val="0"/>
          <w:numId w:val="1"/>
        </w:numPr>
        <w:spacing w:line="360" w:lineRule="auto"/>
        <w:jc w:val="both"/>
        <w:rPr>
          <w:rFonts w:ascii="Times New Roman" w:eastAsia="Times New Roman" w:hAnsi="Times New Roman" w:cs="Times New Roman"/>
          <w:lang w:val="en-GB" w:eastAsia="en-GB"/>
        </w:rPr>
      </w:pPr>
      <w:r w:rsidRPr="00F43992">
        <w:rPr>
          <w:rFonts w:ascii="Times New Roman" w:eastAsia="Times New Roman" w:hAnsi="Times New Roman" w:cs="Times New Roman"/>
          <w:lang w:val="en-GB" w:eastAsia="en-GB"/>
        </w:rPr>
        <w:t>In the Commission’s submission</w:t>
      </w:r>
      <w:r w:rsidR="00F43992" w:rsidRPr="00F43992">
        <w:rPr>
          <w:rFonts w:ascii="Times New Roman" w:eastAsia="Times New Roman" w:hAnsi="Times New Roman" w:cs="Times New Roman"/>
          <w:lang w:val="en-GB" w:eastAsia="en-GB"/>
        </w:rPr>
        <w:t>,</w:t>
      </w:r>
      <w:r w:rsidRPr="00F43992">
        <w:rPr>
          <w:rFonts w:ascii="Times New Roman" w:eastAsia="Times New Roman" w:hAnsi="Times New Roman" w:cs="Times New Roman"/>
          <w:lang w:val="en-GB" w:eastAsia="en-GB"/>
        </w:rPr>
        <w:t xml:space="preserve"> the freedoms of expression and </w:t>
      </w:r>
      <w:r w:rsidR="00F43992" w:rsidRPr="00F43992">
        <w:rPr>
          <w:rFonts w:ascii="Times New Roman" w:eastAsia="Times New Roman" w:hAnsi="Times New Roman" w:cs="Times New Roman"/>
          <w:lang w:val="en-GB" w:eastAsia="en-GB"/>
        </w:rPr>
        <w:t xml:space="preserve">peaceful </w:t>
      </w:r>
      <w:r w:rsidRPr="00F43992">
        <w:rPr>
          <w:rFonts w:ascii="Times New Roman" w:eastAsia="Times New Roman" w:hAnsi="Times New Roman" w:cs="Times New Roman"/>
          <w:lang w:val="en-GB" w:eastAsia="en-GB"/>
        </w:rPr>
        <w:t>assembly prote</w:t>
      </w:r>
      <w:r w:rsidR="00062919" w:rsidRPr="00F43992">
        <w:rPr>
          <w:rFonts w:ascii="Times New Roman" w:eastAsia="Times New Roman" w:hAnsi="Times New Roman" w:cs="Times New Roman"/>
          <w:lang w:val="en-GB" w:eastAsia="en-GB"/>
        </w:rPr>
        <w:t xml:space="preserve">cted by Article 40.6.1 ought to be read </w:t>
      </w:r>
      <w:r w:rsidR="00A8438E" w:rsidRPr="00F43992">
        <w:rPr>
          <w:rFonts w:ascii="Times New Roman" w:eastAsia="Times New Roman" w:hAnsi="Times New Roman" w:cs="Times New Roman"/>
          <w:lang w:val="en-GB" w:eastAsia="en-GB"/>
        </w:rPr>
        <w:t xml:space="preserve">as broadly as possible, up to the point of the limitations within the text of the </w:t>
      </w:r>
      <w:r w:rsidR="00F43992" w:rsidRPr="00F43992">
        <w:rPr>
          <w:rFonts w:ascii="Times New Roman" w:eastAsia="Times New Roman" w:hAnsi="Times New Roman" w:cs="Times New Roman"/>
          <w:lang w:val="en-GB" w:eastAsia="en-GB"/>
        </w:rPr>
        <w:t>C</w:t>
      </w:r>
      <w:r w:rsidR="00A8438E" w:rsidRPr="00F43992">
        <w:rPr>
          <w:rFonts w:ascii="Times New Roman" w:eastAsia="Times New Roman" w:hAnsi="Times New Roman" w:cs="Times New Roman"/>
          <w:lang w:val="en-GB" w:eastAsia="en-GB"/>
        </w:rPr>
        <w:t>onstitution itself</w:t>
      </w:r>
      <w:r w:rsidR="00234736">
        <w:rPr>
          <w:rFonts w:ascii="Times New Roman" w:eastAsia="Times New Roman" w:hAnsi="Times New Roman" w:cs="Times New Roman"/>
          <w:lang w:val="en-GB" w:eastAsia="en-GB"/>
        </w:rPr>
        <w:t>, i.e.</w:t>
      </w:r>
      <w:r w:rsidR="00A8438E" w:rsidRPr="00F43992">
        <w:rPr>
          <w:rFonts w:ascii="Times New Roman" w:eastAsia="Times New Roman" w:hAnsi="Times New Roman" w:cs="Times New Roman"/>
          <w:lang w:val="en-GB" w:eastAsia="en-GB"/>
        </w:rPr>
        <w:t xml:space="preserve"> the </w:t>
      </w:r>
      <w:r w:rsidR="007F328B" w:rsidRPr="00F43992">
        <w:rPr>
          <w:rFonts w:ascii="Times New Roman" w:eastAsia="Times New Roman" w:hAnsi="Times New Roman" w:cs="Times New Roman"/>
          <w:lang w:val="en-GB" w:eastAsia="en-GB"/>
        </w:rPr>
        <w:t xml:space="preserve">limits </w:t>
      </w:r>
      <w:r w:rsidR="004E4925" w:rsidRPr="00F43992">
        <w:rPr>
          <w:rFonts w:ascii="Times New Roman" w:hAnsi="Times New Roman" w:cs="Times New Roman"/>
        </w:rPr>
        <w:t>of “</w:t>
      </w:r>
      <w:r w:rsidR="004E4925" w:rsidRPr="00F43992">
        <w:rPr>
          <w:rFonts w:ascii="Times New Roman" w:hAnsi="Times New Roman" w:cs="Times New Roman"/>
          <w:i/>
          <w:iCs/>
        </w:rPr>
        <w:t>public order and morality</w:t>
      </w:r>
      <w:r w:rsidR="004E4925" w:rsidRPr="00F43992">
        <w:rPr>
          <w:rFonts w:ascii="Times New Roman" w:hAnsi="Times New Roman" w:cs="Times New Roman"/>
        </w:rPr>
        <w:t>.</w:t>
      </w:r>
      <w:r w:rsidR="00F43992">
        <w:rPr>
          <w:rFonts w:ascii="Times New Roman" w:hAnsi="Times New Roman" w:cs="Times New Roman"/>
        </w:rPr>
        <w:t xml:space="preserve"> A</w:t>
      </w:r>
      <w:r w:rsidR="004E4925" w:rsidRPr="00F43992">
        <w:rPr>
          <w:rFonts w:ascii="Times New Roman" w:hAnsi="Times New Roman" w:cs="Times New Roman"/>
        </w:rPr>
        <w:t xml:space="preserve">cts of protest and civil disobedience, </w:t>
      </w:r>
      <w:r w:rsidR="004E4925" w:rsidRPr="00F43992">
        <w:rPr>
          <w:rFonts w:ascii="Times New Roman" w:hAnsi="Times New Roman" w:cs="Times New Roman"/>
          <w:u w:val="single"/>
        </w:rPr>
        <w:t>provided they are peaceful</w:t>
      </w:r>
      <w:r w:rsidR="00F43992">
        <w:rPr>
          <w:rFonts w:ascii="Times New Roman" w:hAnsi="Times New Roman" w:cs="Times New Roman"/>
        </w:rPr>
        <w:t xml:space="preserve"> (and, therefore, a legitimate part of the democratic process enshrined by Article 5)</w:t>
      </w:r>
      <w:r w:rsidR="004E4925" w:rsidRPr="00F43992">
        <w:rPr>
          <w:rFonts w:ascii="Times New Roman" w:hAnsi="Times New Roman" w:cs="Times New Roman"/>
        </w:rPr>
        <w:t xml:space="preserve">, can </w:t>
      </w:r>
      <w:r w:rsidR="00D77FD5" w:rsidRPr="00F43992">
        <w:rPr>
          <w:rFonts w:ascii="Times New Roman" w:hAnsi="Times New Roman" w:cs="Times New Roman"/>
        </w:rPr>
        <w:t xml:space="preserve">and should </w:t>
      </w:r>
      <w:r w:rsidR="004E4925" w:rsidRPr="00F43992">
        <w:rPr>
          <w:rFonts w:ascii="Times New Roman" w:hAnsi="Times New Roman" w:cs="Times New Roman"/>
        </w:rPr>
        <w:t xml:space="preserve">find protection under Article 40.6.1. The connection between expression, assembly, protest and civil disobedience with democratic engagement and participation </w:t>
      </w:r>
      <w:proofErr w:type="gramStart"/>
      <w:r w:rsidR="004E4925" w:rsidRPr="00F43992">
        <w:rPr>
          <w:rFonts w:ascii="Times New Roman" w:hAnsi="Times New Roman" w:cs="Times New Roman"/>
        </w:rPr>
        <w:t>is of significant importance</w:t>
      </w:r>
      <w:proofErr w:type="gramEnd"/>
      <w:r w:rsidR="004E4925" w:rsidRPr="00F43992">
        <w:rPr>
          <w:rFonts w:ascii="Times New Roman" w:hAnsi="Times New Roman" w:cs="Times New Roman"/>
        </w:rPr>
        <w:t xml:space="preserve"> in the development of the politics of the State through the people (who are ultimately sovereign in our constitutional order).</w:t>
      </w:r>
    </w:p>
    <w:p w14:paraId="1E34A056" w14:textId="77777777" w:rsidR="00BE2A0E" w:rsidRPr="00BE2A0E" w:rsidRDefault="00BE2A0E" w:rsidP="00BE2A0E">
      <w:pPr>
        <w:pStyle w:val="ListParagraph"/>
        <w:rPr>
          <w:rFonts w:ascii="Times New Roman" w:eastAsia="Times New Roman" w:hAnsi="Times New Roman" w:cs="Times New Roman"/>
          <w:lang w:val="en-GB" w:eastAsia="en-GB"/>
        </w:rPr>
      </w:pPr>
    </w:p>
    <w:p w14:paraId="167FAEA9" w14:textId="52731732" w:rsidR="00E749AB" w:rsidRPr="00F43992" w:rsidRDefault="00BE2A0E" w:rsidP="00E749AB">
      <w:pPr>
        <w:pStyle w:val="ListParagraph"/>
        <w:numPr>
          <w:ilvl w:val="0"/>
          <w:numId w:val="1"/>
        </w:numPr>
        <w:spacing w:line="360" w:lineRule="auto"/>
        <w:jc w:val="both"/>
        <w:rPr>
          <w:rFonts w:ascii="Times New Roman" w:eastAsia="Times New Roman" w:hAnsi="Times New Roman" w:cs="Times New Roman"/>
          <w:lang w:val="en-GB" w:eastAsia="en-GB"/>
        </w:rPr>
      </w:pPr>
      <w:r w:rsidRPr="00F43992">
        <w:rPr>
          <w:rFonts w:ascii="Times New Roman" w:eastAsia="Times New Roman" w:hAnsi="Times New Roman" w:cs="Times New Roman"/>
          <w:lang w:val="en-GB" w:eastAsia="en-GB"/>
        </w:rPr>
        <w:t xml:space="preserve">The textual </w:t>
      </w:r>
      <w:r w:rsidR="00CD1D70" w:rsidRPr="00F43992">
        <w:rPr>
          <w:rFonts w:ascii="Times New Roman" w:eastAsia="Times New Roman" w:hAnsi="Times New Roman" w:cs="Times New Roman"/>
          <w:lang w:val="en-GB" w:eastAsia="en-GB"/>
        </w:rPr>
        <w:t>limitations</w:t>
      </w:r>
      <w:r w:rsidRPr="00F43992">
        <w:rPr>
          <w:rFonts w:ascii="Times New Roman" w:eastAsia="Times New Roman" w:hAnsi="Times New Roman" w:cs="Times New Roman"/>
          <w:lang w:val="en-GB" w:eastAsia="en-GB"/>
        </w:rPr>
        <w:t xml:space="preserve"> of “</w:t>
      </w:r>
      <w:r w:rsidRPr="00F43992">
        <w:rPr>
          <w:rFonts w:ascii="Times New Roman" w:eastAsia="Times New Roman" w:hAnsi="Times New Roman" w:cs="Times New Roman"/>
          <w:i/>
          <w:iCs/>
          <w:lang w:val="en-GB" w:eastAsia="en-GB"/>
        </w:rPr>
        <w:t>public order and morality”</w:t>
      </w:r>
      <w:r w:rsidRPr="00F43992">
        <w:rPr>
          <w:rFonts w:ascii="Times New Roman" w:eastAsia="Times New Roman" w:hAnsi="Times New Roman" w:cs="Times New Roman"/>
          <w:lang w:val="en-GB" w:eastAsia="en-GB"/>
        </w:rPr>
        <w:t xml:space="preserve"> must be meaningful</w:t>
      </w:r>
      <w:r w:rsidR="00F43992" w:rsidRPr="00F43992">
        <w:rPr>
          <w:rFonts w:ascii="Times New Roman" w:eastAsia="Times New Roman" w:hAnsi="Times New Roman" w:cs="Times New Roman"/>
          <w:lang w:val="en-GB" w:eastAsia="en-GB"/>
        </w:rPr>
        <w:t xml:space="preserve"> </w:t>
      </w:r>
      <w:r w:rsidRPr="00F43992">
        <w:rPr>
          <w:rFonts w:ascii="Times New Roman" w:eastAsia="Times New Roman" w:hAnsi="Times New Roman" w:cs="Times New Roman"/>
          <w:lang w:val="en-GB" w:eastAsia="en-GB"/>
        </w:rPr>
        <w:t>and there is a connection here to the respect owed to the democratic legitima</w:t>
      </w:r>
      <w:r w:rsidR="00F43992" w:rsidRPr="00F43992">
        <w:rPr>
          <w:rFonts w:ascii="Times New Roman" w:eastAsia="Times New Roman" w:hAnsi="Times New Roman" w:cs="Times New Roman"/>
          <w:lang w:val="en-GB" w:eastAsia="en-GB"/>
        </w:rPr>
        <w:t>c</w:t>
      </w:r>
      <w:r w:rsidRPr="00F43992">
        <w:rPr>
          <w:rFonts w:ascii="Times New Roman" w:eastAsia="Times New Roman" w:hAnsi="Times New Roman" w:cs="Times New Roman"/>
          <w:lang w:val="en-GB" w:eastAsia="en-GB"/>
        </w:rPr>
        <w:t>y of the criminal law itself</w:t>
      </w:r>
      <w:r w:rsidR="00F43992" w:rsidRPr="00F43992">
        <w:rPr>
          <w:rFonts w:ascii="Times New Roman" w:eastAsia="Times New Roman" w:hAnsi="Times New Roman" w:cs="Times New Roman"/>
          <w:lang w:val="en-GB" w:eastAsia="en-GB"/>
        </w:rPr>
        <w:t xml:space="preserve">. </w:t>
      </w:r>
      <w:r w:rsidR="00234736">
        <w:rPr>
          <w:rFonts w:ascii="Times New Roman" w:eastAsia="Times New Roman" w:hAnsi="Times New Roman" w:cs="Times New Roman"/>
          <w:lang w:val="en-GB" w:eastAsia="en-GB"/>
        </w:rPr>
        <w:t>Legitimate a</w:t>
      </w:r>
      <w:r w:rsidR="00F43992" w:rsidRPr="00F43992">
        <w:rPr>
          <w:rFonts w:ascii="Times New Roman" w:eastAsia="Times New Roman" w:hAnsi="Times New Roman" w:cs="Times New Roman"/>
          <w:lang w:val="en-GB" w:eastAsia="en-GB"/>
        </w:rPr>
        <w:t>cts o</w:t>
      </w:r>
      <w:r w:rsidR="00234736">
        <w:rPr>
          <w:rFonts w:ascii="Times New Roman" w:eastAsia="Times New Roman" w:hAnsi="Times New Roman" w:cs="Times New Roman"/>
          <w:lang w:val="en-GB" w:eastAsia="en-GB"/>
        </w:rPr>
        <w:t>f</w:t>
      </w:r>
      <w:r w:rsidR="00F43992" w:rsidRPr="00F43992">
        <w:rPr>
          <w:rFonts w:ascii="Times New Roman" w:eastAsia="Times New Roman" w:hAnsi="Times New Roman" w:cs="Times New Roman"/>
          <w:lang w:val="en-GB" w:eastAsia="en-GB"/>
        </w:rPr>
        <w:t xml:space="preserve"> protest must be peaceful. The rights of others must be respected, such that any disruption caused is proportionate and private property rights are given a high, but not necessarily absolute, level of protection</w:t>
      </w:r>
      <w:r w:rsidR="00F43992">
        <w:rPr>
          <w:rFonts w:ascii="Times New Roman" w:eastAsia="Times New Roman" w:hAnsi="Times New Roman" w:cs="Times New Roman"/>
          <w:lang w:val="en-GB" w:eastAsia="en-GB"/>
        </w:rPr>
        <w:t>. F</w:t>
      </w:r>
      <w:r w:rsidR="00F43992" w:rsidRPr="00F43992">
        <w:rPr>
          <w:rFonts w:ascii="Times New Roman" w:eastAsia="Times New Roman" w:hAnsi="Times New Roman" w:cs="Times New Roman"/>
          <w:lang w:val="en-GB" w:eastAsia="en-GB"/>
        </w:rPr>
        <w:t xml:space="preserve">or example, privately owned ‘open </w:t>
      </w:r>
      <w:proofErr w:type="gramStart"/>
      <w:r w:rsidR="00F43992" w:rsidRPr="00F43992">
        <w:rPr>
          <w:rFonts w:ascii="Times New Roman" w:eastAsia="Times New Roman" w:hAnsi="Times New Roman" w:cs="Times New Roman"/>
          <w:lang w:val="en-GB" w:eastAsia="en-GB"/>
        </w:rPr>
        <w:t>spaces’</w:t>
      </w:r>
      <w:proofErr w:type="gramEnd"/>
      <w:r w:rsidR="00F43992">
        <w:rPr>
          <w:rFonts w:ascii="Times New Roman" w:eastAsia="Times New Roman" w:hAnsi="Times New Roman" w:cs="Times New Roman"/>
          <w:lang w:val="en-GB" w:eastAsia="en-GB"/>
        </w:rPr>
        <w:t xml:space="preserve"> may attract </w:t>
      </w:r>
      <w:r w:rsidR="00234736">
        <w:rPr>
          <w:rFonts w:ascii="Times New Roman" w:eastAsia="Times New Roman" w:hAnsi="Times New Roman" w:cs="Times New Roman"/>
          <w:lang w:val="en-GB" w:eastAsia="en-GB"/>
        </w:rPr>
        <w:t xml:space="preserve">protection under </w:t>
      </w:r>
      <w:r w:rsidR="00F43992">
        <w:rPr>
          <w:rFonts w:ascii="Times New Roman" w:eastAsia="Times New Roman" w:hAnsi="Times New Roman" w:cs="Times New Roman"/>
          <w:lang w:val="en-GB" w:eastAsia="en-GB"/>
        </w:rPr>
        <w:t xml:space="preserve">Articles 10 and 11 </w:t>
      </w:r>
      <w:r w:rsidR="00234736">
        <w:rPr>
          <w:rFonts w:ascii="Times New Roman" w:eastAsia="Times New Roman" w:hAnsi="Times New Roman" w:cs="Times New Roman"/>
          <w:lang w:val="en-GB" w:eastAsia="en-GB"/>
        </w:rPr>
        <w:t xml:space="preserve">of the </w:t>
      </w:r>
      <w:r w:rsidR="00F43992">
        <w:rPr>
          <w:rFonts w:ascii="Times New Roman" w:eastAsia="Times New Roman" w:hAnsi="Times New Roman" w:cs="Times New Roman"/>
          <w:lang w:val="en-GB" w:eastAsia="en-GB"/>
        </w:rPr>
        <w:t>ECHR</w:t>
      </w:r>
      <w:r w:rsidR="00F43992" w:rsidRPr="00F43992">
        <w:rPr>
          <w:rFonts w:ascii="Times New Roman" w:eastAsia="Times New Roman" w:hAnsi="Times New Roman" w:cs="Times New Roman"/>
          <w:lang w:val="en-GB" w:eastAsia="en-GB"/>
        </w:rPr>
        <w:t xml:space="preserve">, </w:t>
      </w:r>
      <w:r w:rsidR="00F43992">
        <w:rPr>
          <w:rFonts w:ascii="Times New Roman" w:eastAsia="Times New Roman" w:hAnsi="Times New Roman" w:cs="Times New Roman"/>
          <w:lang w:val="en-GB" w:eastAsia="en-GB"/>
        </w:rPr>
        <w:t>to which these submissions now turn</w:t>
      </w:r>
      <w:r w:rsidR="00F43992" w:rsidRPr="00F43992">
        <w:rPr>
          <w:rFonts w:ascii="Times New Roman" w:eastAsia="Times New Roman" w:hAnsi="Times New Roman" w:cs="Times New Roman"/>
          <w:lang w:val="en-GB" w:eastAsia="en-GB"/>
        </w:rPr>
        <w:t>.</w:t>
      </w:r>
    </w:p>
    <w:p w14:paraId="4BDDEA70" w14:textId="77777777" w:rsidR="00F43992" w:rsidRPr="00F43992" w:rsidRDefault="00F43992" w:rsidP="00F43992">
      <w:pPr>
        <w:spacing w:line="360" w:lineRule="auto"/>
        <w:jc w:val="both"/>
        <w:rPr>
          <w:rFonts w:ascii="Times New Roman" w:eastAsia="Times New Roman" w:hAnsi="Times New Roman" w:cs="Times New Roman"/>
          <w:b/>
          <w:bCs/>
          <w:lang w:eastAsia="en-GB"/>
        </w:rPr>
      </w:pPr>
    </w:p>
    <w:p w14:paraId="322FDACB" w14:textId="5A973844" w:rsidR="00400989" w:rsidRPr="00A07A7C" w:rsidRDefault="00A23302" w:rsidP="00A23302">
      <w:pPr>
        <w:pStyle w:val="Heading2"/>
        <w:rPr>
          <w:rFonts w:eastAsia="Times New Roman"/>
          <w:lang w:eastAsia="en-GB"/>
        </w:rPr>
      </w:pPr>
      <w:r>
        <w:rPr>
          <w:rFonts w:eastAsia="Times New Roman"/>
          <w:lang w:eastAsia="en-GB"/>
        </w:rPr>
        <w:t xml:space="preserve">A. </w:t>
      </w:r>
      <w:r w:rsidR="00DB532E" w:rsidRPr="00A07A7C">
        <w:rPr>
          <w:rFonts w:eastAsia="Times New Roman"/>
          <w:lang w:eastAsia="en-GB"/>
        </w:rPr>
        <w:t xml:space="preserve">Acts of </w:t>
      </w:r>
      <w:r w:rsidR="00400989" w:rsidRPr="00A07A7C">
        <w:rPr>
          <w:rFonts w:eastAsia="Times New Roman"/>
          <w:lang w:eastAsia="en-GB"/>
        </w:rPr>
        <w:t>p</w:t>
      </w:r>
      <w:r w:rsidR="00DB532E" w:rsidRPr="00A07A7C">
        <w:rPr>
          <w:rFonts w:eastAsia="Times New Roman"/>
          <w:lang w:eastAsia="en-GB"/>
        </w:rPr>
        <w:t>rotest and</w:t>
      </w:r>
      <w:r w:rsidR="00BF3BC1" w:rsidRPr="00A07A7C">
        <w:rPr>
          <w:rFonts w:eastAsia="Times New Roman"/>
          <w:lang w:eastAsia="en-GB"/>
        </w:rPr>
        <w:t xml:space="preserve"> the </w:t>
      </w:r>
      <w:r w:rsidR="00400989" w:rsidRPr="00A07A7C">
        <w:rPr>
          <w:rFonts w:eastAsia="Times New Roman"/>
          <w:lang w:eastAsia="en-GB"/>
        </w:rPr>
        <w:t>c</w:t>
      </w:r>
      <w:r w:rsidR="00BF3BC1" w:rsidRPr="00A07A7C">
        <w:rPr>
          <w:rFonts w:eastAsia="Times New Roman"/>
          <w:lang w:eastAsia="en-GB"/>
        </w:rPr>
        <w:t xml:space="preserve">riminal </w:t>
      </w:r>
      <w:r w:rsidR="00400989" w:rsidRPr="00A07A7C">
        <w:rPr>
          <w:rFonts w:eastAsia="Times New Roman"/>
          <w:lang w:eastAsia="en-GB"/>
        </w:rPr>
        <w:t>l</w:t>
      </w:r>
      <w:r w:rsidR="00BF3BC1" w:rsidRPr="00A07A7C">
        <w:rPr>
          <w:rFonts w:eastAsia="Times New Roman"/>
          <w:lang w:eastAsia="en-GB"/>
        </w:rPr>
        <w:t>aw under</w:t>
      </w:r>
      <w:r w:rsidR="00DB532E" w:rsidRPr="00A07A7C">
        <w:rPr>
          <w:rFonts w:eastAsia="Times New Roman"/>
          <w:lang w:eastAsia="en-GB"/>
        </w:rPr>
        <w:t xml:space="preserve"> Articles 10 and 11 of the ECHR</w:t>
      </w:r>
    </w:p>
    <w:p w14:paraId="435098B2" w14:textId="77777777" w:rsidR="00400989" w:rsidRDefault="00400989" w:rsidP="00824073">
      <w:pPr>
        <w:spacing w:line="360" w:lineRule="auto"/>
        <w:jc w:val="both"/>
        <w:rPr>
          <w:rFonts w:ascii="Times New Roman" w:eastAsia="Times New Roman" w:hAnsi="Times New Roman" w:cs="Times New Roman"/>
          <w:b/>
          <w:bCs/>
          <w:lang w:eastAsia="en-GB"/>
        </w:rPr>
      </w:pPr>
    </w:p>
    <w:p w14:paraId="6C50C1A2" w14:textId="5F735219" w:rsidR="008C25EF" w:rsidRPr="00A73F21" w:rsidRDefault="003703AC" w:rsidP="00A73F21">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eastAsia="en-GB"/>
        </w:rPr>
        <w:t>Article 10 of the ECHR provides</w:t>
      </w:r>
      <w:r w:rsidR="007E5D2E">
        <w:rPr>
          <w:rFonts w:ascii="Times New Roman" w:eastAsia="Times New Roman" w:hAnsi="Times New Roman" w:cs="Times New Roman"/>
          <w:color w:val="212121"/>
          <w:lang w:eastAsia="en-GB"/>
        </w:rPr>
        <w:t xml:space="preserve"> for freedom of expression</w:t>
      </w:r>
      <w:r w:rsidR="00A73F21">
        <w:rPr>
          <w:rFonts w:ascii="Times New Roman" w:eastAsia="Times New Roman" w:hAnsi="Times New Roman" w:cs="Times New Roman"/>
          <w:color w:val="212121"/>
          <w:lang w:eastAsia="en-GB"/>
        </w:rPr>
        <w:t xml:space="preserve">, subject to a range of limitations in </w:t>
      </w:r>
      <w:r w:rsidR="00234736">
        <w:rPr>
          <w:rFonts w:ascii="Times New Roman" w:eastAsia="Times New Roman" w:hAnsi="Times New Roman" w:cs="Times New Roman"/>
          <w:color w:val="212121"/>
          <w:lang w:eastAsia="en-GB"/>
        </w:rPr>
        <w:t>paragraph</w:t>
      </w:r>
      <w:r w:rsidR="00A73F21">
        <w:rPr>
          <w:rFonts w:ascii="Times New Roman" w:eastAsia="Times New Roman" w:hAnsi="Times New Roman" w:cs="Times New Roman"/>
          <w:color w:val="212121"/>
          <w:lang w:eastAsia="en-GB"/>
        </w:rPr>
        <w:t xml:space="preserve"> 10.2, </w:t>
      </w:r>
      <w:r w:rsidR="003C078B">
        <w:rPr>
          <w:rFonts w:ascii="Times New Roman" w:eastAsia="Times New Roman" w:hAnsi="Times New Roman" w:cs="Times New Roman"/>
          <w:color w:val="212121"/>
          <w:lang w:eastAsia="en-GB"/>
        </w:rPr>
        <w:t>and</w:t>
      </w:r>
      <w:r w:rsidR="00A73F21">
        <w:rPr>
          <w:rFonts w:ascii="Times New Roman" w:eastAsia="Times New Roman" w:hAnsi="Times New Roman" w:cs="Times New Roman"/>
          <w:color w:val="212121"/>
          <w:lang w:eastAsia="en-GB"/>
        </w:rPr>
        <w:t xml:space="preserve"> freedom of assembly </w:t>
      </w:r>
      <w:r w:rsidR="003C078B">
        <w:rPr>
          <w:rFonts w:ascii="Times New Roman" w:eastAsia="Times New Roman" w:hAnsi="Times New Roman" w:cs="Times New Roman"/>
          <w:color w:val="212121"/>
          <w:lang w:eastAsia="en-GB"/>
        </w:rPr>
        <w:t xml:space="preserve">is </w:t>
      </w:r>
      <w:r w:rsidR="00A73F21">
        <w:rPr>
          <w:rFonts w:ascii="Times New Roman" w:eastAsia="Times New Roman" w:hAnsi="Times New Roman" w:cs="Times New Roman"/>
          <w:color w:val="212121"/>
          <w:lang w:eastAsia="en-GB"/>
        </w:rPr>
        <w:t xml:space="preserve">protected by Article 11 ECHR, with similar limitations in its second clause. </w:t>
      </w:r>
      <w:r w:rsidRPr="00A73F21">
        <w:rPr>
          <w:rFonts w:ascii="Times New Roman" w:eastAsia="Times New Roman" w:hAnsi="Times New Roman" w:cs="Times New Roman"/>
          <w:color w:val="212121"/>
          <w:lang w:eastAsia="en-GB"/>
        </w:rPr>
        <w:t>There is a significant body of jurisprudence developed by the Strasbourg Court o</w:t>
      </w:r>
      <w:r w:rsidR="003C078B">
        <w:rPr>
          <w:rFonts w:ascii="Times New Roman" w:eastAsia="Times New Roman" w:hAnsi="Times New Roman" w:cs="Times New Roman"/>
          <w:color w:val="212121"/>
          <w:lang w:eastAsia="en-GB"/>
        </w:rPr>
        <w:t>n</w:t>
      </w:r>
      <w:r w:rsidRPr="00A73F21">
        <w:rPr>
          <w:rFonts w:ascii="Times New Roman" w:eastAsia="Times New Roman" w:hAnsi="Times New Roman" w:cs="Times New Roman"/>
          <w:color w:val="212121"/>
          <w:lang w:eastAsia="en-GB"/>
        </w:rPr>
        <w:t xml:space="preserve"> these </w:t>
      </w:r>
      <w:r w:rsidR="008C25EF" w:rsidRPr="00A73F21">
        <w:rPr>
          <w:rFonts w:ascii="Times New Roman" w:eastAsia="Times New Roman" w:hAnsi="Times New Roman" w:cs="Times New Roman"/>
          <w:color w:val="212121"/>
          <w:lang w:eastAsia="en-GB"/>
        </w:rPr>
        <w:t>A</w:t>
      </w:r>
      <w:r w:rsidRPr="00A73F21">
        <w:rPr>
          <w:rFonts w:ascii="Times New Roman" w:eastAsia="Times New Roman" w:hAnsi="Times New Roman" w:cs="Times New Roman"/>
          <w:color w:val="212121"/>
          <w:lang w:eastAsia="en-GB"/>
        </w:rPr>
        <w:t>rticles</w:t>
      </w:r>
      <w:r w:rsidR="00A91170" w:rsidRPr="00A73F21">
        <w:rPr>
          <w:rFonts w:ascii="Times New Roman" w:eastAsia="Times New Roman" w:hAnsi="Times New Roman" w:cs="Times New Roman"/>
          <w:color w:val="212121"/>
          <w:lang w:eastAsia="en-GB"/>
        </w:rPr>
        <w:t>.</w:t>
      </w:r>
    </w:p>
    <w:p w14:paraId="259E6626" w14:textId="77777777" w:rsidR="008C25EF" w:rsidRPr="008C25EF" w:rsidRDefault="008C25EF" w:rsidP="00A23302">
      <w:pPr>
        <w:rPr>
          <w:lang w:eastAsia="en-GB"/>
        </w:rPr>
      </w:pPr>
    </w:p>
    <w:p w14:paraId="12C55450" w14:textId="48AE990E" w:rsidR="008C25EF" w:rsidRPr="008C25EF" w:rsidRDefault="00485780"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hAnsi="Times New Roman" w:cs="Times New Roman"/>
          <w:lang w:val="en-GB"/>
        </w:rPr>
        <w:lastRenderedPageBreak/>
        <w:t xml:space="preserve">Harris, O’Boyle, and Warbrick, </w:t>
      </w:r>
      <w:r w:rsidRPr="008C25EF">
        <w:rPr>
          <w:rFonts w:ascii="Times New Roman" w:hAnsi="Times New Roman" w:cs="Times New Roman"/>
          <w:i/>
          <w:iCs/>
          <w:lang w:val="en-GB"/>
        </w:rPr>
        <w:t>Law of the European Convention on Human Rights</w:t>
      </w:r>
      <w:r w:rsidR="00A91170">
        <w:rPr>
          <w:rFonts w:ascii="Times New Roman" w:hAnsi="Times New Roman" w:cs="Times New Roman"/>
          <w:lang w:val="en-GB"/>
        </w:rPr>
        <w:t xml:space="preserve">, </w:t>
      </w:r>
      <w:r w:rsidR="00627628" w:rsidRPr="008C25EF">
        <w:rPr>
          <w:rFonts w:ascii="Times New Roman" w:hAnsi="Times New Roman" w:cs="Times New Roman"/>
          <w:lang w:val="en-GB"/>
        </w:rPr>
        <w:t>5</w:t>
      </w:r>
      <w:r w:rsidR="00627628" w:rsidRPr="008C25EF">
        <w:rPr>
          <w:rFonts w:ascii="Times New Roman" w:hAnsi="Times New Roman" w:cs="Times New Roman"/>
          <w:vertAlign w:val="superscript"/>
          <w:lang w:val="en-GB"/>
        </w:rPr>
        <w:t>th</w:t>
      </w:r>
      <w:r w:rsidR="00627628" w:rsidRPr="008C25EF">
        <w:rPr>
          <w:rFonts w:ascii="Times New Roman" w:hAnsi="Times New Roman" w:cs="Times New Roman"/>
          <w:lang w:val="en-GB"/>
        </w:rPr>
        <w:t xml:space="preserve"> edition</w:t>
      </w:r>
      <w:r w:rsidR="00A91170">
        <w:rPr>
          <w:rFonts w:ascii="Times New Roman" w:hAnsi="Times New Roman" w:cs="Times New Roman"/>
          <w:lang w:val="en-GB"/>
        </w:rPr>
        <w:t>,</w:t>
      </w:r>
      <w:r w:rsidRPr="008C25EF">
        <w:rPr>
          <w:rFonts w:ascii="Times New Roman" w:hAnsi="Times New Roman" w:cs="Times New Roman"/>
          <w:lang w:val="en-GB"/>
        </w:rPr>
        <w:t xml:space="preserve"> describe Article 10 as “</w:t>
      </w:r>
      <w:r w:rsidRPr="00A91170">
        <w:rPr>
          <w:rFonts w:ascii="Times New Roman" w:hAnsi="Times New Roman" w:cs="Times New Roman"/>
          <w:i/>
          <w:iCs/>
          <w:lang w:val="en-GB"/>
        </w:rPr>
        <w:t>one of the cardinal rights guaranteed under the Convention</w:t>
      </w:r>
      <w:r w:rsidRPr="008C25EF">
        <w:rPr>
          <w:rFonts w:ascii="Times New Roman" w:hAnsi="Times New Roman" w:cs="Times New Roman"/>
          <w:lang w:val="en-GB"/>
        </w:rPr>
        <w:t>”, referencing its historic backdrop and stating:</w:t>
      </w:r>
    </w:p>
    <w:p w14:paraId="37402B3F" w14:textId="77777777" w:rsidR="008C25EF" w:rsidRPr="008C25EF" w:rsidRDefault="008C25EF" w:rsidP="00824073">
      <w:pPr>
        <w:pStyle w:val="ListParagraph"/>
        <w:spacing w:line="360" w:lineRule="auto"/>
        <w:rPr>
          <w:rFonts w:ascii="Times New Roman" w:hAnsi="Times New Roman" w:cs="Times New Roman"/>
          <w:i/>
          <w:iCs/>
          <w:lang w:val="en-GB"/>
        </w:rPr>
      </w:pPr>
    </w:p>
    <w:p w14:paraId="356CB772" w14:textId="6D327891" w:rsidR="008C25EF" w:rsidRDefault="00485780" w:rsidP="002F3D51">
      <w:pPr>
        <w:pStyle w:val="ListParagraph"/>
        <w:spacing w:line="360" w:lineRule="auto"/>
        <w:jc w:val="both"/>
        <w:rPr>
          <w:rFonts w:ascii="Times New Roman" w:hAnsi="Times New Roman" w:cs="Times New Roman"/>
          <w:lang w:val="en-GB"/>
        </w:rPr>
      </w:pPr>
      <w:r w:rsidRPr="008C25EF">
        <w:rPr>
          <w:rFonts w:ascii="Times New Roman" w:hAnsi="Times New Roman" w:cs="Times New Roman"/>
          <w:i/>
          <w:iCs/>
          <w:lang w:val="en-GB"/>
        </w:rPr>
        <w:t xml:space="preserve">“The </w:t>
      </w:r>
      <w:r w:rsidRPr="008C25EF">
        <w:rPr>
          <w:rFonts w:ascii="Times New Roman" w:hAnsi="Times New Roman" w:cs="Times New Roman"/>
          <w:i/>
          <w:iCs/>
          <w:u w:val="single"/>
          <w:lang w:val="en-GB"/>
        </w:rPr>
        <w:t>marked importance attached to this right is readily explicable by its close linkage to democracy’s political process and its role as an indispensable vehicle for minorities, political opponents, and civil society to foster public debates</w:t>
      </w:r>
      <w:r w:rsidRPr="008C25EF">
        <w:rPr>
          <w:rFonts w:ascii="Times New Roman" w:hAnsi="Times New Roman" w:cs="Times New Roman"/>
          <w:i/>
          <w:iCs/>
          <w:lang w:val="en-GB"/>
        </w:rPr>
        <w:t>. Such a constitutional underpinning of freedom of expression lends succour to the consistent assertion of the Court that interference with this right can be justified only by ‘imperative necessities’ and that exceptions to this right must be interpreted narrowly.”</w:t>
      </w:r>
      <w:r w:rsidRPr="00C65731">
        <w:rPr>
          <w:rStyle w:val="FootnoteReference"/>
          <w:rFonts w:ascii="Times New Roman" w:hAnsi="Times New Roman" w:cs="Times New Roman"/>
          <w:i/>
          <w:iCs/>
          <w:lang w:val="en-GB"/>
        </w:rPr>
        <w:footnoteReference w:id="8"/>
      </w:r>
      <w:r w:rsidR="00A91170">
        <w:rPr>
          <w:rFonts w:ascii="Times New Roman" w:hAnsi="Times New Roman" w:cs="Times New Roman"/>
          <w:i/>
          <w:iCs/>
          <w:lang w:val="en-GB"/>
        </w:rPr>
        <w:t xml:space="preserve"> </w:t>
      </w:r>
      <w:r w:rsidR="007861BE" w:rsidRPr="008C25EF">
        <w:rPr>
          <w:rFonts w:ascii="Times New Roman" w:hAnsi="Times New Roman" w:cs="Times New Roman"/>
          <w:lang w:val="en-GB"/>
        </w:rPr>
        <w:t>[Emphasis added]</w:t>
      </w:r>
    </w:p>
    <w:p w14:paraId="15CE8280" w14:textId="77777777" w:rsidR="008C25EF" w:rsidRDefault="008C25EF" w:rsidP="00824073">
      <w:pPr>
        <w:spacing w:line="360" w:lineRule="auto"/>
        <w:jc w:val="both"/>
        <w:rPr>
          <w:rFonts w:ascii="Times New Roman" w:eastAsia="Times New Roman" w:hAnsi="Times New Roman" w:cs="Times New Roman"/>
          <w:color w:val="212121"/>
          <w:lang w:eastAsia="en-GB"/>
        </w:rPr>
      </w:pPr>
    </w:p>
    <w:p w14:paraId="55F29F76" w14:textId="77777777" w:rsidR="00F01677" w:rsidRPr="00F01677" w:rsidRDefault="007F1D93"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eastAsia="en-GB"/>
        </w:rPr>
        <w:t>The extensive jurisprudence on the forms of protest that have attracted the protections of Article 10 (read in conjunction with Article 11) is a testament to this commitment to expression in light of its connection to democracy.</w:t>
      </w:r>
      <w:r>
        <w:rPr>
          <w:rStyle w:val="FootnoteReference"/>
          <w:rFonts w:ascii="Times New Roman" w:eastAsia="Times New Roman" w:hAnsi="Times New Roman" w:cs="Times New Roman"/>
          <w:color w:val="212121"/>
          <w:lang w:eastAsia="en-GB"/>
        </w:rPr>
        <w:footnoteReference w:id="9"/>
      </w:r>
      <w:r w:rsidRPr="008C25EF">
        <w:rPr>
          <w:rFonts w:ascii="Times New Roman" w:eastAsia="Times New Roman" w:hAnsi="Times New Roman" w:cs="Times New Roman"/>
          <w:color w:val="212121"/>
          <w:lang w:eastAsia="en-GB"/>
        </w:rPr>
        <w:t xml:space="preserve"> </w:t>
      </w:r>
      <w:r w:rsidR="00732DEC" w:rsidRPr="008C25EF">
        <w:rPr>
          <w:rFonts w:ascii="Times New Roman" w:eastAsia="Times New Roman" w:hAnsi="Times New Roman" w:cs="Times New Roman"/>
          <w:color w:val="212121"/>
          <w:lang w:val="en-GB" w:eastAsia="en-GB"/>
        </w:rPr>
        <w:t>Article 10 protects not only the substance of the ideas and information, but the form in which they are conveyed.</w:t>
      </w:r>
      <w:r w:rsidR="00732DEC" w:rsidRPr="00732DEC">
        <w:rPr>
          <w:vertAlign w:val="superscript"/>
          <w:lang w:val="en-GB" w:eastAsia="en-GB"/>
        </w:rPr>
        <w:footnoteReference w:id="10"/>
      </w:r>
      <w:r w:rsidR="00732DEC" w:rsidRPr="008C25EF">
        <w:rPr>
          <w:rFonts w:ascii="Times New Roman" w:eastAsia="Times New Roman" w:hAnsi="Times New Roman" w:cs="Times New Roman"/>
          <w:color w:val="212121"/>
          <w:lang w:val="en-GB" w:eastAsia="en-GB"/>
        </w:rPr>
        <w:t xml:space="preserve"> </w:t>
      </w:r>
    </w:p>
    <w:p w14:paraId="3B53B947" w14:textId="77777777" w:rsidR="00F01677" w:rsidRPr="00F01677" w:rsidRDefault="00F01677" w:rsidP="00F01677">
      <w:pPr>
        <w:pStyle w:val="ListParagraph"/>
        <w:spacing w:line="360" w:lineRule="auto"/>
        <w:ind w:left="644"/>
        <w:jc w:val="both"/>
        <w:rPr>
          <w:rFonts w:ascii="Times New Roman" w:eastAsia="Times New Roman" w:hAnsi="Times New Roman" w:cs="Times New Roman"/>
          <w:b/>
          <w:bCs/>
          <w:lang w:eastAsia="en-GB"/>
        </w:rPr>
      </w:pPr>
    </w:p>
    <w:p w14:paraId="35F9F37E" w14:textId="3F887C3A" w:rsidR="008C25EF" w:rsidRPr="008C25EF" w:rsidRDefault="00732DEC"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val="en-GB" w:eastAsia="en-GB"/>
        </w:rPr>
        <w:t xml:space="preserve">In </w:t>
      </w:r>
      <w:r w:rsidRPr="008C25EF">
        <w:rPr>
          <w:rFonts w:ascii="Times New Roman" w:eastAsia="Times New Roman" w:hAnsi="Times New Roman" w:cs="Times New Roman"/>
          <w:b/>
          <w:bCs/>
          <w:i/>
          <w:iCs/>
          <w:color w:val="212121"/>
          <w:lang w:val="en-GB" w:eastAsia="en-GB"/>
        </w:rPr>
        <w:t>Steel and Others v</w:t>
      </w:r>
      <w:r w:rsidR="008C25EF">
        <w:rPr>
          <w:rFonts w:ascii="Times New Roman" w:eastAsia="Times New Roman" w:hAnsi="Times New Roman" w:cs="Times New Roman"/>
          <w:b/>
          <w:bCs/>
          <w:i/>
          <w:iCs/>
          <w:color w:val="212121"/>
          <w:lang w:val="en-GB" w:eastAsia="en-GB"/>
        </w:rPr>
        <w:t>.</w:t>
      </w:r>
      <w:r w:rsidRPr="008C25EF">
        <w:rPr>
          <w:rFonts w:ascii="Times New Roman" w:eastAsia="Times New Roman" w:hAnsi="Times New Roman" w:cs="Times New Roman"/>
          <w:b/>
          <w:bCs/>
          <w:i/>
          <w:iCs/>
          <w:color w:val="212121"/>
          <w:lang w:val="en-GB" w:eastAsia="en-GB"/>
        </w:rPr>
        <w:t xml:space="preserve"> United Kingdom </w:t>
      </w:r>
      <w:r w:rsidRPr="008C25EF">
        <w:rPr>
          <w:rFonts w:ascii="Times New Roman" w:eastAsia="Times New Roman" w:hAnsi="Times New Roman" w:cs="Times New Roman"/>
          <w:color w:val="212121"/>
          <w:lang w:val="en-GB" w:eastAsia="en-GB"/>
        </w:rPr>
        <w:t xml:space="preserve">(Application </w:t>
      </w:r>
      <w:r w:rsidR="005B6C51">
        <w:rPr>
          <w:rFonts w:ascii="Times New Roman" w:eastAsia="Times New Roman" w:hAnsi="Times New Roman" w:cs="Times New Roman"/>
          <w:color w:val="212121"/>
          <w:lang w:val="en-GB" w:eastAsia="en-GB"/>
        </w:rPr>
        <w:t>n</w:t>
      </w:r>
      <w:r w:rsidRPr="008C25EF">
        <w:rPr>
          <w:rFonts w:ascii="Times New Roman" w:eastAsia="Times New Roman" w:hAnsi="Times New Roman" w:cs="Times New Roman"/>
          <w:color w:val="212121"/>
          <w:lang w:val="en-GB" w:eastAsia="en-GB"/>
        </w:rPr>
        <w:t>o. 24838/94</w:t>
      </w:r>
      <w:r w:rsidR="00234736">
        <w:rPr>
          <w:rFonts w:ascii="Times New Roman" w:eastAsia="Times New Roman" w:hAnsi="Times New Roman" w:cs="Times New Roman"/>
          <w:color w:val="212121"/>
          <w:lang w:val="en-GB" w:eastAsia="en-GB"/>
        </w:rPr>
        <w:t>,</w:t>
      </w:r>
      <w:r w:rsidRPr="008C25EF">
        <w:rPr>
          <w:rFonts w:ascii="Times New Roman" w:eastAsia="Times New Roman" w:hAnsi="Times New Roman" w:cs="Times New Roman"/>
          <w:color w:val="212121"/>
          <w:lang w:val="en-GB" w:eastAsia="en-GB"/>
        </w:rPr>
        <w:t xml:space="preserve"> 23 September 1998; (1998) 28 EHRR 603), the applicants were convicted of breach of the peace and using threatening words or behaviour, contrary to section 5 of the Public Order Act 1986. The ECtHR held </w:t>
      </w:r>
      <w:r w:rsidR="00A91170">
        <w:rPr>
          <w:rFonts w:ascii="Times New Roman" w:eastAsia="Times New Roman" w:hAnsi="Times New Roman" w:cs="Times New Roman"/>
          <w:color w:val="212121"/>
          <w:lang w:val="en-GB" w:eastAsia="en-GB"/>
        </w:rPr>
        <w:t xml:space="preserve">that </w:t>
      </w:r>
      <w:r w:rsidR="00BA59DC">
        <w:rPr>
          <w:rFonts w:ascii="Times New Roman" w:eastAsia="Times New Roman" w:hAnsi="Times New Roman" w:cs="Times New Roman"/>
          <w:color w:val="212121"/>
          <w:lang w:val="en-GB" w:eastAsia="en-GB"/>
        </w:rPr>
        <w:t>the</w:t>
      </w:r>
      <w:r w:rsidRPr="008C25EF">
        <w:rPr>
          <w:rFonts w:ascii="Times New Roman" w:eastAsia="Times New Roman" w:hAnsi="Times New Roman" w:cs="Times New Roman"/>
          <w:color w:val="212121"/>
          <w:lang w:val="en-GB" w:eastAsia="en-GB"/>
        </w:rPr>
        <w:t xml:space="preserve"> actions</w:t>
      </w:r>
      <w:r w:rsidR="00BA59DC">
        <w:rPr>
          <w:rFonts w:ascii="Times New Roman" w:eastAsia="Times New Roman" w:hAnsi="Times New Roman" w:cs="Times New Roman"/>
          <w:color w:val="212121"/>
          <w:lang w:val="en-GB" w:eastAsia="en-GB"/>
        </w:rPr>
        <w:t xml:space="preserve"> of the </w:t>
      </w:r>
      <w:r w:rsidR="00234736">
        <w:rPr>
          <w:rFonts w:ascii="Times New Roman" w:eastAsia="Times New Roman" w:hAnsi="Times New Roman" w:cs="Times New Roman"/>
          <w:color w:val="212121"/>
          <w:lang w:val="en-GB" w:eastAsia="en-GB"/>
        </w:rPr>
        <w:t>d</w:t>
      </w:r>
      <w:r w:rsidR="0055713D">
        <w:rPr>
          <w:rFonts w:ascii="Times New Roman" w:eastAsia="Times New Roman" w:hAnsi="Times New Roman" w:cs="Times New Roman"/>
          <w:color w:val="212121"/>
          <w:lang w:val="en-GB" w:eastAsia="en-GB"/>
        </w:rPr>
        <w:t>efendants</w:t>
      </w:r>
      <w:r w:rsidR="00C33C94">
        <w:rPr>
          <w:rFonts w:ascii="Times New Roman" w:eastAsia="Times New Roman" w:hAnsi="Times New Roman" w:cs="Times New Roman"/>
          <w:color w:val="212121"/>
          <w:lang w:val="en-GB" w:eastAsia="en-GB"/>
        </w:rPr>
        <w:t>,</w:t>
      </w:r>
      <w:r w:rsidR="00BA59DC">
        <w:rPr>
          <w:rFonts w:ascii="Times New Roman" w:eastAsia="Times New Roman" w:hAnsi="Times New Roman" w:cs="Times New Roman"/>
          <w:color w:val="212121"/>
          <w:lang w:val="en-GB" w:eastAsia="en-GB"/>
        </w:rPr>
        <w:t xml:space="preserve"> in obstructing a grouse shoot and </w:t>
      </w:r>
      <w:r w:rsidR="0055713D">
        <w:rPr>
          <w:rFonts w:ascii="Times New Roman" w:eastAsia="Times New Roman" w:hAnsi="Times New Roman" w:cs="Times New Roman"/>
          <w:color w:val="212121"/>
          <w:lang w:val="en-GB" w:eastAsia="en-GB"/>
        </w:rPr>
        <w:t>breaking into a construction site</w:t>
      </w:r>
      <w:r w:rsidR="00C33C94">
        <w:rPr>
          <w:rFonts w:ascii="Times New Roman" w:eastAsia="Times New Roman" w:hAnsi="Times New Roman" w:cs="Times New Roman"/>
          <w:color w:val="212121"/>
          <w:lang w:val="en-GB" w:eastAsia="en-GB"/>
        </w:rPr>
        <w:t>,</w:t>
      </w:r>
      <w:r w:rsidRPr="008C25EF">
        <w:rPr>
          <w:rFonts w:ascii="Times New Roman" w:eastAsia="Times New Roman" w:hAnsi="Times New Roman" w:cs="Times New Roman"/>
          <w:color w:val="212121"/>
          <w:lang w:val="en-GB" w:eastAsia="en-GB"/>
        </w:rPr>
        <w:t xml:space="preserve"> constituted expressions of opinion within the meaning of Article 10 even though they had taken the form of physically impeding certain </w:t>
      </w:r>
      <w:r w:rsidRPr="008C25EF">
        <w:rPr>
          <w:rFonts w:ascii="Times New Roman" w:eastAsia="Times New Roman" w:hAnsi="Times New Roman" w:cs="Times New Roman"/>
          <w:color w:val="212121"/>
          <w:lang w:val="en-GB" w:eastAsia="en-GB"/>
        </w:rPr>
        <w:lastRenderedPageBreak/>
        <w:t>activities</w:t>
      </w:r>
      <w:r w:rsidRPr="008C25EF">
        <w:rPr>
          <w:rFonts w:ascii="Times New Roman" w:eastAsia="Times New Roman" w:hAnsi="Times New Roman" w:cs="Times New Roman"/>
          <w:b/>
          <w:bCs/>
          <w:color w:val="212121"/>
          <w:lang w:val="en-GB" w:eastAsia="en-GB"/>
        </w:rPr>
        <w:t xml:space="preserve"> </w:t>
      </w:r>
      <w:r w:rsidRPr="008C25EF">
        <w:rPr>
          <w:rFonts w:ascii="Times New Roman" w:eastAsia="Times New Roman" w:hAnsi="Times New Roman" w:cs="Times New Roman"/>
          <w:color w:val="212121"/>
          <w:lang w:val="en-GB" w:eastAsia="en-GB"/>
        </w:rPr>
        <w:t>(i.e. shooting and construction respectively).</w:t>
      </w:r>
      <w:r w:rsidRPr="00732DEC">
        <w:rPr>
          <w:vertAlign w:val="superscript"/>
          <w:lang w:val="en-GB" w:eastAsia="en-GB"/>
        </w:rPr>
        <w:footnoteReference w:id="11"/>
      </w:r>
      <w:r w:rsidRPr="008C25EF">
        <w:rPr>
          <w:rFonts w:ascii="Times New Roman" w:eastAsia="Times New Roman" w:hAnsi="Times New Roman" w:cs="Times New Roman"/>
          <w:color w:val="212121"/>
          <w:lang w:val="en-GB" w:eastAsia="en-GB"/>
        </w:rPr>
        <w:t xml:space="preserve"> The Court rejected the UK Government’s argument that the protest activities had not been peaceful and that Article 10 had thus not been applicable. </w:t>
      </w:r>
      <w:r w:rsidR="005B6C51">
        <w:rPr>
          <w:rFonts w:ascii="Times New Roman" w:eastAsia="Times New Roman" w:hAnsi="Times New Roman" w:cs="Times New Roman"/>
          <w:color w:val="212121"/>
          <w:lang w:val="en-GB" w:eastAsia="en-GB"/>
        </w:rPr>
        <w:t>T</w:t>
      </w:r>
      <w:r w:rsidRPr="008C25EF">
        <w:rPr>
          <w:rFonts w:ascii="Times New Roman" w:eastAsia="Times New Roman" w:hAnsi="Times New Roman" w:cs="Times New Roman"/>
          <w:color w:val="212121"/>
          <w:lang w:val="en-GB" w:eastAsia="en-GB"/>
        </w:rPr>
        <w:t>here had been an interference with Article 10</w:t>
      </w:r>
      <w:r w:rsidR="00234736">
        <w:rPr>
          <w:rFonts w:ascii="Times New Roman" w:eastAsia="Times New Roman" w:hAnsi="Times New Roman" w:cs="Times New Roman"/>
          <w:color w:val="212121"/>
          <w:lang w:val="en-GB" w:eastAsia="en-GB"/>
        </w:rPr>
        <w:t xml:space="preserve"> rights</w:t>
      </w:r>
      <w:r w:rsidRPr="008C25EF">
        <w:rPr>
          <w:rFonts w:ascii="Times New Roman" w:eastAsia="Times New Roman" w:hAnsi="Times New Roman" w:cs="Times New Roman"/>
          <w:color w:val="212121"/>
          <w:lang w:val="en-GB" w:eastAsia="en-GB"/>
        </w:rPr>
        <w:t xml:space="preserve">, and </w:t>
      </w:r>
      <w:r w:rsidR="005B6C51">
        <w:rPr>
          <w:rFonts w:ascii="Times New Roman" w:eastAsia="Times New Roman" w:hAnsi="Times New Roman" w:cs="Times New Roman"/>
          <w:color w:val="212121"/>
          <w:lang w:val="en-GB" w:eastAsia="en-GB"/>
        </w:rPr>
        <w:t>the issue was</w:t>
      </w:r>
      <w:r w:rsidRPr="008C25EF">
        <w:rPr>
          <w:rFonts w:ascii="Times New Roman" w:eastAsia="Times New Roman" w:hAnsi="Times New Roman" w:cs="Times New Roman"/>
          <w:color w:val="212121"/>
          <w:lang w:val="en-GB" w:eastAsia="en-GB"/>
        </w:rPr>
        <w:t xml:space="preserve"> whether it had been </w:t>
      </w:r>
      <w:proofErr w:type="gramStart"/>
      <w:r w:rsidRPr="008C25EF">
        <w:rPr>
          <w:rFonts w:ascii="Times New Roman" w:eastAsia="Times New Roman" w:hAnsi="Times New Roman" w:cs="Times New Roman"/>
          <w:color w:val="212121"/>
          <w:lang w:val="en-GB" w:eastAsia="en-GB"/>
        </w:rPr>
        <w:t>proportionate</w:t>
      </w:r>
      <w:proofErr w:type="gramEnd"/>
      <w:r w:rsidR="00832CCB">
        <w:rPr>
          <w:rFonts w:ascii="Times New Roman" w:eastAsia="Times New Roman" w:hAnsi="Times New Roman" w:cs="Times New Roman"/>
          <w:color w:val="212121"/>
          <w:lang w:val="en-GB" w:eastAsia="en-GB"/>
        </w:rPr>
        <w:t>.</w:t>
      </w:r>
      <w:r w:rsidRPr="008C25EF">
        <w:rPr>
          <w:rFonts w:ascii="Times New Roman" w:eastAsia="Times New Roman" w:hAnsi="Times New Roman" w:cs="Times New Roman"/>
          <w:color w:val="212121"/>
          <w:lang w:val="en-GB" w:eastAsia="en-GB"/>
        </w:rPr>
        <w:t xml:space="preserve"> </w:t>
      </w:r>
      <w:r w:rsidR="005B6C51">
        <w:rPr>
          <w:rFonts w:ascii="Times New Roman" w:eastAsia="Times New Roman" w:hAnsi="Times New Roman" w:cs="Times New Roman"/>
          <w:color w:val="212121"/>
          <w:lang w:val="en-GB" w:eastAsia="en-GB"/>
        </w:rPr>
        <w:t>The ECtHR</w:t>
      </w:r>
      <w:r w:rsidRPr="008C25EF">
        <w:rPr>
          <w:rFonts w:ascii="Times New Roman" w:eastAsia="Times New Roman" w:hAnsi="Times New Roman" w:cs="Times New Roman"/>
          <w:color w:val="212121"/>
          <w:lang w:val="en-GB" w:eastAsia="en-GB"/>
        </w:rPr>
        <w:t xml:space="preserve"> ultimately found that</w:t>
      </w:r>
      <w:r w:rsidR="00A91170">
        <w:rPr>
          <w:rFonts w:ascii="Times New Roman" w:eastAsia="Times New Roman" w:hAnsi="Times New Roman" w:cs="Times New Roman"/>
          <w:color w:val="212121"/>
          <w:lang w:val="en-GB" w:eastAsia="en-GB"/>
        </w:rPr>
        <w:t>,</w:t>
      </w:r>
      <w:r w:rsidRPr="008C25EF">
        <w:rPr>
          <w:rFonts w:ascii="Times New Roman" w:eastAsia="Times New Roman" w:hAnsi="Times New Roman" w:cs="Times New Roman"/>
          <w:color w:val="212121"/>
          <w:lang w:val="en-GB" w:eastAsia="en-GB"/>
        </w:rPr>
        <w:t xml:space="preserve"> given the dangers and risk of disorder in the first and second applicants’ protest activities</w:t>
      </w:r>
      <w:r w:rsidR="00A91170">
        <w:rPr>
          <w:rFonts w:ascii="Times New Roman" w:eastAsia="Times New Roman" w:hAnsi="Times New Roman" w:cs="Times New Roman"/>
          <w:color w:val="212121"/>
          <w:lang w:val="en-GB" w:eastAsia="en-GB"/>
        </w:rPr>
        <w:t>,</w:t>
      </w:r>
      <w:r w:rsidRPr="008C25EF">
        <w:rPr>
          <w:rFonts w:ascii="Times New Roman" w:eastAsia="Times New Roman" w:hAnsi="Times New Roman" w:cs="Times New Roman"/>
          <w:color w:val="212121"/>
          <w:lang w:val="en-GB" w:eastAsia="en-GB"/>
        </w:rPr>
        <w:t xml:space="preserve"> their arrest and detention was not disproportionate. The measures </w:t>
      </w:r>
      <w:r w:rsidRPr="008C25EF">
        <w:rPr>
          <w:rFonts w:ascii="Times New Roman" w:eastAsia="Times New Roman" w:hAnsi="Times New Roman" w:cs="Times New Roman"/>
          <w:color w:val="212121"/>
          <w:lang w:eastAsia="en-GB"/>
        </w:rPr>
        <w:t>taken against the third, fourth and fifth applicants were disproportionate, since their protest was entirely peaceful</w:t>
      </w:r>
      <w:r w:rsidRPr="008C25EF">
        <w:rPr>
          <w:rFonts w:ascii="Times New Roman" w:eastAsia="Times New Roman" w:hAnsi="Times New Roman" w:cs="Times New Roman"/>
          <w:color w:val="212121"/>
          <w:lang w:val="en-GB" w:eastAsia="en-GB"/>
        </w:rPr>
        <w:t>. This case was cited by the UK</w:t>
      </w:r>
      <w:r w:rsidR="00A91170">
        <w:rPr>
          <w:rFonts w:ascii="Times New Roman" w:eastAsia="Times New Roman" w:hAnsi="Times New Roman" w:cs="Times New Roman"/>
          <w:color w:val="212121"/>
          <w:lang w:val="en-GB" w:eastAsia="en-GB"/>
        </w:rPr>
        <w:t xml:space="preserve"> </w:t>
      </w:r>
      <w:r w:rsidRPr="008C25EF">
        <w:rPr>
          <w:rFonts w:ascii="Times New Roman" w:eastAsia="Times New Roman" w:hAnsi="Times New Roman" w:cs="Times New Roman"/>
          <w:color w:val="212121"/>
          <w:lang w:val="en-GB" w:eastAsia="en-GB"/>
        </w:rPr>
        <w:t>S</w:t>
      </w:r>
      <w:r w:rsidR="00A91170">
        <w:rPr>
          <w:rFonts w:ascii="Times New Roman" w:eastAsia="Times New Roman" w:hAnsi="Times New Roman" w:cs="Times New Roman"/>
          <w:color w:val="212121"/>
          <w:lang w:val="en-GB" w:eastAsia="en-GB"/>
        </w:rPr>
        <w:t xml:space="preserve">upreme </w:t>
      </w:r>
      <w:r w:rsidRPr="008C25EF">
        <w:rPr>
          <w:rFonts w:ascii="Times New Roman" w:eastAsia="Times New Roman" w:hAnsi="Times New Roman" w:cs="Times New Roman"/>
          <w:color w:val="212121"/>
          <w:lang w:val="en-GB" w:eastAsia="en-GB"/>
        </w:rPr>
        <w:t>C</w:t>
      </w:r>
      <w:r w:rsidR="00A91170">
        <w:rPr>
          <w:rFonts w:ascii="Times New Roman" w:eastAsia="Times New Roman" w:hAnsi="Times New Roman" w:cs="Times New Roman"/>
          <w:color w:val="212121"/>
          <w:lang w:val="en-GB" w:eastAsia="en-GB"/>
        </w:rPr>
        <w:t>ourt</w:t>
      </w:r>
      <w:r w:rsidRPr="008C25EF">
        <w:rPr>
          <w:rFonts w:ascii="Times New Roman" w:eastAsia="Times New Roman" w:hAnsi="Times New Roman" w:cs="Times New Roman"/>
          <w:color w:val="212121"/>
          <w:lang w:val="en-GB" w:eastAsia="en-GB"/>
        </w:rPr>
        <w:t xml:space="preserve"> in </w:t>
      </w:r>
      <w:r w:rsidR="00234736">
        <w:rPr>
          <w:rFonts w:ascii="Times New Roman" w:eastAsia="Times New Roman" w:hAnsi="Times New Roman" w:cs="Times New Roman"/>
          <w:b/>
          <w:bCs/>
          <w:i/>
          <w:iCs/>
          <w:color w:val="212121"/>
          <w:lang w:val="en-GB" w:eastAsia="en-GB"/>
        </w:rPr>
        <w:t xml:space="preserve">DPP v. </w:t>
      </w:r>
      <w:r w:rsidRPr="008F204C">
        <w:rPr>
          <w:rFonts w:ascii="Times New Roman" w:eastAsia="Times New Roman" w:hAnsi="Times New Roman" w:cs="Times New Roman"/>
          <w:b/>
          <w:bCs/>
          <w:i/>
          <w:iCs/>
          <w:color w:val="212121"/>
          <w:lang w:val="en-GB" w:eastAsia="en-GB"/>
        </w:rPr>
        <w:t>Ziegler</w:t>
      </w:r>
      <w:r w:rsidR="000549E0">
        <w:rPr>
          <w:rFonts w:ascii="Times New Roman" w:eastAsia="Times New Roman" w:hAnsi="Times New Roman" w:cs="Times New Roman"/>
          <w:i/>
          <w:iCs/>
          <w:color w:val="212121"/>
          <w:lang w:val="en-GB" w:eastAsia="en-GB"/>
        </w:rPr>
        <w:t xml:space="preserve"> </w:t>
      </w:r>
      <w:r w:rsidR="008F204C">
        <w:rPr>
          <w:rFonts w:ascii="Times New Roman" w:eastAsia="Times New Roman" w:hAnsi="Times New Roman" w:cs="Times New Roman"/>
          <w:color w:val="212121"/>
          <w:lang w:val="en-GB" w:eastAsia="en-GB"/>
        </w:rPr>
        <w:t>(</w:t>
      </w:r>
      <w:r w:rsidR="000549E0">
        <w:rPr>
          <w:rFonts w:ascii="Times New Roman" w:eastAsia="Times New Roman" w:hAnsi="Times New Roman" w:cs="Times New Roman"/>
          <w:color w:val="212121"/>
          <w:lang w:val="en-GB" w:eastAsia="en-GB"/>
        </w:rPr>
        <w:t>addressed below)</w:t>
      </w:r>
      <w:r w:rsidRPr="008C25EF">
        <w:rPr>
          <w:rFonts w:ascii="Times New Roman" w:eastAsia="Times New Roman" w:hAnsi="Times New Roman" w:cs="Times New Roman"/>
          <w:color w:val="212121"/>
          <w:lang w:val="en-GB" w:eastAsia="en-GB"/>
        </w:rPr>
        <w:t>.</w:t>
      </w:r>
    </w:p>
    <w:p w14:paraId="69395280" w14:textId="77777777" w:rsidR="00A91170" w:rsidRPr="00A91170" w:rsidRDefault="00A91170" w:rsidP="00824073">
      <w:pPr>
        <w:pStyle w:val="ListParagraph"/>
        <w:spacing w:line="360" w:lineRule="auto"/>
        <w:jc w:val="both"/>
        <w:rPr>
          <w:rFonts w:ascii="Times New Roman" w:eastAsia="Times New Roman" w:hAnsi="Times New Roman" w:cs="Times New Roman"/>
          <w:b/>
          <w:bCs/>
          <w:lang w:eastAsia="en-GB"/>
        </w:rPr>
      </w:pPr>
    </w:p>
    <w:p w14:paraId="3240117A" w14:textId="0C96AAFB" w:rsidR="008C25EF" w:rsidRPr="008C25EF" w:rsidRDefault="00732DEC"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val="en-GB" w:eastAsia="en-GB"/>
        </w:rPr>
        <w:t xml:space="preserve">Similarly in </w:t>
      </w:r>
      <w:r w:rsidRPr="008C25EF">
        <w:rPr>
          <w:rFonts w:ascii="Times New Roman" w:eastAsia="Times New Roman" w:hAnsi="Times New Roman" w:cs="Times New Roman"/>
          <w:b/>
          <w:bCs/>
          <w:i/>
          <w:iCs/>
          <w:color w:val="212121"/>
          <w:lang w:val="en-GB" w:eastAsia="en-GB"/>
        </w:rPr>
        <w:t>Lucas v</w:t>
      </w:r>
      <w:r w:rsidR="00A91170">
        <w:rPr>
          <w:rFonts w:ascii="Times New Roman" w:eastAsia="Times New Roman" w:hAnsi="Times New Roman" w:cs="Times New Roman"/>
          <w:b/>
          <w:bCs/>
          <w:i/>
          <w:iCs/>
          <w:color w:val="212121"/>
          <w:lang w:val="en-GB" w:eastAsia="en-GB"/>
        </w:rPr>
        <w:t>.</w:t>
      </w:r>
      <w:r w:rsidRPr="008C25EF">
        <w:rPr>
          <w:rFonts w:ascii="Times New Roman" w:eastAsia="Times New Roman" w:hAnsi="Times New Roman" w:cs="Times New Roman"/>
          <w:b/>
          <w:bCs/>
          <w:i/>
          <w:iCs/>
          <w:color w:val="212121"/>
          <w:lang w:val="en-GB" w:eastAsia="en-GB"/>
        </w:rPr>
        <w:t xml:space="preserve"> United Kingdom</w:t>
      </w:r>
      <w:r w:rsidRPr="008C25EF">
        <w:rPr>
          <w:rFonts w:ascii="Times New Roman" w:eastAsia="Times New Roman" w:hAnsi="Times New Roman" w:cs="Times New Roman"/>
          <w:color w:val="212121"/>
          <w:lang w:val="en-GB" w:eastAsia="en-GB"/>
        </w:rPr>
        <w:t xml:space="preserve"> (Application no. 39013/02, 18 March 2003) the ECtHR held </w:t>
      </w:r>
      <w:r w:rsidR="00A91170">
        <w:rPr>
          <w:rFonts w:ascii="Times New Roman" w:eastAsia="Times New Roman" w:hAnsi="Times New Roman" w:cs="Times New Roman"/>
          <w:color w:val="212121"/>
          <w:lang w:val="en-GB" w:eastAsia="en-GB"/>
        </w:rPr>
        <w:t xml:space="preserve">that </w:t>
      </w:r>
      <w:r w:rsidRPr="008C25EF">
        <w:rPr>
          <w:rFonts w:ascii="Times New Roman" w:eastAsia="Times New Roman" w:hAnsi="Times New Roman" w:cs="Times New Roman"/>
          <w:color w:val="212121"/>
          <w:lang w:val="en-GB" w:eastAsia="en-GB"/>
        </w:rPr>
        <w:t xml:space="preserve">protests </w:t>
      </w:r>
      <w:proofErr w:type="gramStart"/>
      <w:r w:rsidRPr="008C25EF">
        <w:rPr>
          <w:rFonts w:ascii="Times New Roman" w:eastAsia="Times New Roman" w:hAnsi="Times New Roman" w:cs="Times New Roman"/>
          <w:color w:val="212121"/>
          <w:lang w:val="en-GB" w:eastAsia="en-GB"/>
        </w:rPr>
        <w:t>can</w:t>
      </w:r>
      <w:proofErr w:type="gramEnd"/>
      <w:r w:rsidRPr="008C25EF">
        <w:rPr>
          <w:rFonts w:ascii="Times New Roman" w:eastAsia="Times New Roman" w:hAnsi="Times New Roman" w:cs="Times New Roman"/>
          <w:color w:val="212121"/>
          <w:lang w:val="en-GB" w:eastAsia="en-GB"/>
        </w:rPr>
        <w:t xml:space="preserve"> constitute expressions of opinion within the meaning of Article 10, “</w:t>
      </w:r>
      <w:r w:rsidRPr="00A91170">
        <w:rPr>
          <w:rFonts w:ascii="Times New Roman" w:eastAsia="Times New Roman" w:hAnsi="Times New Roman" w:cs="Times New Roman"/>
          <w:i/>
          <w:iCs/>
          <w:color w:val="212121"/>
          <w:lang w:val="en-GB" w:eastAsia="en-GB"/>
        </w:rPr>
        <w:t>and that the arrest and detention of protesters can constitute interference with the right to freedom of expression</w:t>
      </w:r>
      <w:r w:rsidRPr="008C25EF">
        <w:rPr>
          <w:rFonts w:ascii="Times New Roman" w:eastAsia="Times New Roman" w:hAnsi="Times New Roman" w:cs="Times New Roman"/>
          <w:color w:val="212121"/>
          <w:lang w:val="en-GB" w:eastAsia="en-GB"/>
        </w:rPr>
        <w:t>”.</w:t>
      </w:r>
      <w:r w:rsidR="009D75FB" w:rsidRPr="008C25EF">
        <w:rPr>
          <w:rFonts w:ascii="Times New Roman" w:eastAsia="Times New Roman" w:hAnsi="Times New Roman" w:cs="Times New Roman"/>
          <w:color w:val="212121"/>
          <w:lang w:val="en-GB" w:eastAsia="en-GB"/>
        </w:rPr>
        <w:t xml:space="preserve"> </w:t>
      </w:r>
      <w:r w:rsidRPr="008C25EF">
        <w:rPr>
          <w:rFonts w:ascii="Times New Roman" w:eastAsia="Times New Roman" w:hAnsi="Times New Roman" w:cs="Times New Roman"/>
          <w:color w:val="212121"/>
          <w:lang w:val="en-GB" w:eastAsia="en-GB"/>
        </w:rPr>
        <w:t xml:space="preserve">The applicant was convicted of breach of the peace for having sat in a public road leading to a naval base to </w:t>
      </w:r>
      <w:proofErr w:type="gramStart"/>
      <w:r w:rsidRPr="008C25EF">
        <w:rPr>
          <w:rFonts w:ascii="Times New Roman" w:eastAsia="Times New Roman" w:hAnsi="Times New Roman" w:cs="Times New Roman"/>
          <w:color w:val="212121"/>
          <w:lang w:val="en-GB" w:eastAsia="en-GB"/>
        </w:rPr>
        <w:t>protest against</w:t>
      </w:r>
      <w:proofErr w:type="gramEnd"/>
      <w:r w:rsidRPr="008C25EF">
        <w:rPr>
          <w:rFonts w:ascii="Times New Roman" w:eastAsia="Times New Roman" w:hAnsi="Times New Roman" w:cs="Times New Roman"/>
          <w:color w:val="212121"/>
          <w:lang w:val="en-GB" w:eastAsia="en-GB"/>
        </w:rPr>
        <w:t xml:space="preserve"> the British Government’s decision to retain nuclear submarines. The Court found that the </w:t>
      </w:r>
      <w:r w:rsidR="00A91170">
        <w:rPr>
          <w:rFonts w:ascii="Times New Roman" w:eastAsia="Times New Roman" w:hAnsi="Times New Roman" w:cs="Times New Roman"/>
          <w:color w:val="212121"/>
          <w:lang w:val="en-GB" w:eastAsia="en-GB"/>
        </w:rPr>
        <w:t>four-</w:t>
      </w:r>
      <w:r w:rsidRPr="008C25EF">
        <w:rPr>
          <w:rFonts w:ascii="Times New Roman" w:eastAsia="Times New Roman" w:hAnsi="Times New Roman" w:cs="Times New Roman"/>
          <w:color w:val="212121"/>
          <w:lang w:val="en-GB" w:eastAsia="en-GB"/>
        </w:rPr>
        <w:t xml:space="preserve">hour detention pending trial and </w:t>
      </w:r>
      <w:r w:rsidR="00A91170">
        <w:rPr>
          <w:rFonts w:ascii="Times New Roman" w:eastAsia="Times New Roman" w:hAnsi="Times New Roman" w:cs="Times New Roman"/>
          <w:color w:val="212121"/>
          <w:lang w:val="en-GB" w:eastAsia="en-GB"/>
        </w:rPr>
        <w:t xml:space="preserve">the </w:t>
      </w:r>
      <w:r w:rsidRPr="008C25EF">
        <w:rPr>
          <w:rFonts w:ascii="Times New Roman" w:eastAsia="Times New Roman" w:hAnsi="Times New Roman" w:cs="Times New Roman"/>
          <w:color w:val="212121"/>
          <w:lang w:val="en-GB" w:eastAsia="en-GB"/>
        </w:rPr>
        <w:t xml:space="preserve">fine imposed </w:t>
      </w:r>
      <w:r w:rsidR="00A91170">
        <w:rPr>
          <w:rFonts w:ascii="Times New Roman" w:eastAsia="Times New Roman" w:hAnsi="Times New Roman" w:cs="Times New Roman"/>
          <w:color w:val="212121"/>
          <w:lang w:val="en-GB" w:eastAsia="en-GB"/>
        </w:rPr>
        <w:t>were</w:t>
      </w:r>
      <w:r w:rsidRPr="008C25EF">
        <w:rPr>
          <w:rFonts w:ascii="Times New Roman" w:eastAsia="Times New Roman" w:hAnsi="Times New Roman" w:cs="Times New Roman"/>
          <w:color w:val="212121"/>
          <w:lang w:val="en-GB" w:eastAsia="en-GB"/>
        </w:rPr>
        <w:t xml:space="preserve"> proportionate to the legitimate aim of protecting public order. </w:t>
      </w:r>
    </w:p>
    <w:p w14:paraId="353D3699" w14:textId="77777777" w:rsidR="00A91170" w:rsidRPr="00A91170" w:rsidRDefault="00A91170" w:rsidP="00824073">
      <w:pPr>
        <w:pStyle w:val="ListParagraph"/>
        <w:spacing w:line="360" w:lineRule="auto"/>
        <w:jc w:val="both"/>
        <w:rPr>
          <w:rFonts w:ascii="Times New Roman" w:eastAsia="Times New Roman" w:hAnsi="Times New Roman" w:cs="Times New Roman"/>
          <w:b/>
          <w:bCs/>
          <w:lang w:eastAsia="en-GB"/>
        </w:rPr>
      </w:pPr>
    </w:p>
    <w:p w14:paraId="65ABCF99" w14:textId="72128646" w:rsidR="008C25EF" w:rsidRPr="008C25EF" w:rsidRDefault="00664092"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eastAsia="en-GB"/>
        </w:rPr>
        <w:t xml:space="preserve">As is evident in </w:t>
      </w:r>
      <w:r w:rsidRPr="008C25EF">
        <w:rPr>
          <w:rFonts w:ascii="Times New Roman" w:eastAsia="Times New Roman" w:hAnsi="Times New Roman" w:cs="Times New Roman"/>
          <w:b/>
          <w:bCs/>
          <w:i/>
          <w:iCs/>
          <w:color w:val="212121"/>
          <w:lang w:eastAsia="en-GB"/>
        </w:rPr>
        <w:t>Lucas</w:t>
      </w:r>
      <w:r w:rsidRPr="008C25EF">
        <w:rPr>
          <w:rFonts w:ascii="Times New Roman" w:eastAsia="Times New Roman" w:hAnsi="Times New Roman" w:cs="Times New Roman"/>
          <w:i/>
          <w:iCs/>
          <w:color w:val="212121"/>
          <w:lang w:eastAsia="en-GB"/>
        </w:rPr>
        <w:t xml:space="preserve"> </w:t>
      </w:r>
      <w:r w:rsidRPr="008C25EF">
        <w:rPr>
          <w:rFonts w:ascii="Times New Roman" w:eastAsia="Times New Roman" w:hAnsi="Times New Roman" w:cs="Times New Roman"/>
          <w:color w:val="212121"/>
          <w:lang w:eastAsia="en-GB"/>
        </w:rPr>
        <w:t>the</w:t>
      </w:r>
      <w:r w:rsidR="007F1D93" w:rsidRPr="008C25EF">
        <w:rPr>
          <w:rFonts w:ascii="Times New Roman" w:eastAsia="Times New Roman" w:hAnsi="Times New Roman" w:cs="Times New Roman"/>
          <w:color w:val="212121"/>
          <w:lang w:eastAsia="en-GB"/>
        </w:rPr>
        <w:t xml:space="preserve"> engagement of Article 10 does not necessarily give rise to a breach</w:t>
      </w:r>
      <w:r w:rsidR="00A91170">
        <w:rPr>
          <w:rFonts w:ascii="Times New Roman" w:eastAsia="Times New Roman" w:hAnsi="Times New Roman" w:cs="Times New Roman"/>
          <w:color w:val="212121"/>
          <w:lang w:eastAsia="en-GB"/>
        </w:rPr>
        <w:t>,</w:t>
      </w:r>
      <w:r w:rsidR="007F1D93" w:rsidRPr="008C25EF">
        <w:rPr>
          <w:rFonts w:ascii="Times New Roman" w:eastAsia="Times New Roman" w:hAnsi="Times New Roman" w:cs="Times New Roman"/>
          <w:color w:val="212121"/>
          <w:lang w:eastAsia="en-GB"/>
        </w:rPr>
        <w:t xml:space="preserve"> as a restriction may be found to be </w:t>
      </w:r>
      <w:r w:rsidRPr="008C25EF">
        <w:rPr>
          <w:rFonts w:ascii="Times New Roman" w:eastAsia="Times New Roman" w:hAnsi="Times New Roman" w:cs="Times New Roman"/>
          <w:color w:val="212121"/>
          <w:lang w:eastAsia="en-GB"/>
        </w:rPr>
        <w:t>proportionate.</w:t>
      </w:r>
    </w:p>
    <w:p w14:paraId="0B4697EE" w14:textId="77777777" w:rsidR="00A91170" w:rsidRPr="00A91170" w:rsidRDefault="00A91170" w:rsidP="00824073">
      <w:pPr>
        <w:pStyle w:val="ListParagraph"/>
        <w:spacing w:line="360" w:lineRule="auto"/>
        <w:jc w:val="both"/>
        <w:rPr>
          <w:rFonts w:ascii="Times New Roman" w:eastAsia="Times New Roman" w:hAnsi="Times New Roman" w:cs="Times New Roman"/>
          <w:b/>
          <w:bCs/>
          <w:lang w:eastAsia="en-GB"/>
        </w:rPr>
      </w:pPr>
    </w:p>
    <w:p w14:paraId="71D90A7A" w14:textId="6881FDD7" w:rsidR="008C25EF" w:rsidRPr="008C25EF" w:rsidRDefault="000C4DBA" w:rsidP="00824073">
      <w:pPr>
        <w:pStyle w:val="ListParagraph"/>
        <w:numPr>
          <w:ilvl w:val="0"/>
          <w:numId w:val="1"/>
        </w:numPr>
        <w:spacing w:line="360" w:lineRule="auto"/>
        <w:jc w:val="both"/>
        <w:rPr>
          <w:rFonts w:ascii="Times New Roman" w:eastAsia="Times New Roman" w:hAnsi="Times New Roman" w:cs="Times New Roman"/>
          <w:b/>
          <w:bCs/>
          <w:lang w:eastAsia="en-GB"/>
        </w:rPr>
      </w:pPr>
      <w:r w:rsidRPr="008C25EF">
        <w:rPr>
          <w:rFonts w:ascii="Times New Roman" w:eastAsia="Times New Roman" w:hAnsi="Times New Roman" w:cs="Times New Roman"/>
          <w:color w:val="212121"/>
          <w:lang w:eastAsia="en-GB"/>
        </w:rPr>
        <w:t xml:space="preserve">Of </w:t>
      </w:r>
      <w:proofErr w:type="gramStart"/>
      <w:r w:rsidRPr="008C25EF">
        <w:rPr>
          <w:rFonts w:ascii="Times New Roman" w:eastAsia="Times New Roman" w:hAnsi="Times New Roman" w:cs="Times New Roman"/>
          <w:color w:val="212121"/>
          <w:lang w:eastAsia="en-GB"/>
        </w:rPr>
        <w:t>particular relevance</w:t>
      </w:r>
      <w:proofErr w:type="gramEnd"/>
      <w:r w:rsidRPr="008C25EF">
        <w:rPr>
          <w:rFonts w:ascii="Times New Roman" w:eastAsia="Times New Roman" w:hAnsi="Times New Roman" w:cs="Times New Roman"/>
          <w:color w:val="212121"/>
          <w:lang w:eastAsia="en-GB"/>
        </w:rPr>
        <w:t xml:space="preserve"> is the case of</w:t>
      </w:r>
      <w:r w:rsidR="003703AC" w:rsidRPr="008C25EF">
        <w:rPr>
          <w:rFonts w:ascii="Times New Roman" w:eastAsia="Times New Roman" w:hAnsi="Times New Roman" w:cs="Times New Roman"/>
          <w:color w:val="212121"/>
          <w:lang w:eastAsia="en-GB"/>
        </w:rPr>
        <w:t xml:space="preserve"> </w:t>
      </w:r>
      <w:proofErr w:type="spellStart"/>
      <w:r w:rsidR="003703AC" w:rsidRPr="008C25EF">
        <w:rPr>
          <w:rFonts w:ascii="Times New Roman" w:eastAsia="Times New Roman" w:hAnsi="Times New Roman" w:cs="Times New Roman"/>
          <w:b/>
          <w:bCs/>
          <w:i/>
          <w:iCs/>
          <w:color w:val="212121"/>
          <w:lang w:eastAsia="en-GB"/>
        </w:rPr>
        <w:t>Perinçek</w:t>
      </w:r>
      <w:proofErr w:type="spellEnd"/>
      <w:r w:rsidR="003703AC" w:rsidRPr="008C25EF">
        <w:rPr>
          <w:rFonts w:ascii="Times New Roman" w:eastAsia="Times New Roman" w:hAnsi="Times New Roman" w:cs="Times New Roman"/>
          <w:b/>
          <w:bCs/>
          <w:i/>
          <w:iCs/>
          <w:color w:val="212121"/>
          <w:lang w:eastAsia="en-GB"/>
        </w:rPr>
        <w:t xml:space="preserve"> v. Switzerland</w:t>
      </w:r>
      <w:r w:rsidR="003703AC" w:rsidRPr="008C25EF">
        <w:rPr>
          <w:rFonts w:ascii="Times New Roman" w:eastAsia="Times New Roman" w:hAnsi="Times New Roman" w:cs="Times New Roman"/>
          <w:color w:val="212121"/>
          <w:lang w:eastAsia="en-GB"/>
        </w:rPr>
        <w:t xml:space="preserve">, </w:t>
      </w:r>
      <w:r w:rsidR="00A91170">
        <w:rPr>
          <w:rFonts w:ascii="Times New Roman" w:eastAsia="Times New Roman" w:hAnsi="Times New Roman" w:cs="Times New Roman"/>
          <w:color w:val="212121"/>
          <w:lang w:eastAsia="en-GB"/>
        </w:rPr>
        <w:t>(</w:t>
      </w:r>
      <w:r w:rsidR="003703AC" w:rsidRPr="008C25EF">
        <w:rPr>
          <w:rFonts w:ascii="Times New Roman" w:eastAsia="Times New Roman" w:hAnsi="Times New Roman" w:cs="Times New Roman"/>
          <w:color w:val="212121"/>
          <w:lang w:eastAsia="en-GB"/>
        </w:rPr>
        <w:t>App</w:t>
      </w:r>
      <w:r w:rsidR="00234736">
        <w:rPr>
          <w:rFonts w:ascii="Times New Roman" w:eastAsia="Times New Roman" w:hAnsi="Times New Roman" w:cs="Times New Roman"/>
          <w:color w:val="212121"/>
          <w:lang w:eastAsia="en-GB"/>
        </w:rPr>
        <w:t>lication</w:t>
      </w:r>
      <w:r w:rsidR="003703AC" w:rsidRPr="008C25EF">
        <w:rPr>
          <w:rFonts w:ascii="Times New Roman" w:eastAsia="Times New Roman" w:hAnsi="Times New Roman" w:cs="Times New Roman"/>
          <w:color w:val="212121"/>
          <w:lang w:eastAsia="en-GB"/>
        </w:rPr>
        <w:t xml:space="preserve">. </w:t>
      </w:r>
      <w:r w:rsidR="005B6C51">
        <w:rPr>
          <w:rFonts w:ascii="Times New Roman" w:eastAsia="Times New Roman" w:hAnsi="Times New Roman" w:cs="Times New Roman"/>
          <w:color w:val="212121"/>
          <w:lang w:eastAsia="en-GB"/>
        </w:rPr>
        <w:t>n</w:t>
      </w:r>
      <w:r w:rsidR="003703AC" w:rsidRPr="008C25EF">
        <w:rPr>
          <w:rFonts w:ascii="Times New Roman" w:eastAsia="Times New Roman" w:hAnsi="Times New Roman" w:cs="Times New Roman"/>
          <w:color w:val="212121"/>
          <w:lang w:eastAsia="en-GB"/>
        </w:rPr>
        <w:t>o. 27510/08</w:t>
      </w:r>
      <w:r w:rsidR="00A91170">
        <w:rPr>
          <w:rFonts w:ascii="Times New Roman" w:eastAsia="Times New Roman" w:hAnsi="Times New Roman" w:cs="Times New Roman"/>
          <w:color w:val="212121"/>
          <w:lang w:eastAsia="en-GB"/>
        </w:rPr>
        <w:t xml:space="preserve">, </w:t>
      </w:r>
      <w:r w:rsidR="003703AC" w:rsidRPr="008C25EF">
        <w:rPr>
          <w:rFonts w:ascii="Times New Roman" w:eastAsia="Times New Roman" w:hAnsi="Times New Roman" w:cs="Times New Roman"/>
          <w:color w:val="212121"/>
          <w:lang w:eastAsia="en-GB"/>
        </w:rPr>
        <w:t xml:space="preserve">15 October 2015), </w:t>
      </w:r>
      <w:r w:rsidRPr="008C25EF">
        <w:rPr>
          <w:rFonts w:ascii="Times New Roman" w:eastAsia="Times New Roman" w:hAnsi="Times New Roman" w:cs="Times New Roman"/>
          <w:color w:val="212121"/>
          <w:lang w:eastAsia="en-GB"/>
        </w:rPr>
        <w:t xml:space="preserve">in which </w:t>
      </w:r>
      <w:r w:rsidR="003703AC" w:rsidRPr="008C25EF">
        <w:rPr>
          <w:rFonts w:ascii="Times New Roman" w:eastAsia="Times New Roman" w:hAnsi="Times New Roman" w:cs="Times New Roman"/>
          <w:color w:val="212121"/>
          <w:lang w:eastAsia="en-GB"/>
        </w:rPr>
        <w:t xml:space="preserve">the applicant </w:t>
      </w:r>
      <w:r w:rsidRPr="008C25EF">
        <w:rPr>
          <w:rFonts w:ascii="Times New Roman" w:eastAsia="Times New Roman" w:hAnsi="Times New Roman" w:cs="Times New Roman"/>
          <w:color w:val="212121"/>
          <w:lang w:eastAsia="en-GB"/>
        </w:rPr>
        <w:t>had been</w:t>
      </w:r>
      <w:r w:rsidR="003703AC" w:rsidRPr="008C25EF">
        <w:rPr>
          <w:rFonts w:ascii="Times New Roman" w:eastAsia="Times New Roman" w:hAnsi="Times New Roman" w:cs="Times New Roman"/>
          <w:color w:val="212121"/>
          <w:lang w:eastAsia="en-GB"/>
        </w:rPr>
        <w:t xml:space="preserve"> convicted of publicly denying the genocide against the Armenian people. The Grand Chamber of the ECtHR was critical of the domestic court’s silence on the effect of the conviction on the applicant’s rights under </w:t>
      </w:r>
      <w:r w:rsidR="005B6C51">
        <w:rPr>
          <w:rFonts w:ascii="Times New Roman" w:eastAsia="Times New Roman" w:hAnsi="Times New Roman" w:cs="Times New Roman"/>
          <w:color w:val="212121"/>
          <w:lang w:eastAsia="en-GB"/>
        </w:rPr>
        <w:t>A</w:t>
      </w:r>
      <w:r w:rsidR="003703AC" w:rsidRPr="008C25EF">
        <w:rPr>
          <w:rFonts w:ascii="Times New Roman" w:eastAsia="Times New Roman" w:hAnsi="Times New Roman" w:cs="Times New Roman"/>
          <w:color w:val="212121"/>
          <w:lang w:eastAsia="en-GB"/>
        </w:rPr>
        <w:t>rticle 10</w:t>
      </w:r>
      <w:r w:rsidR="00A91170">
        <w:rPr>
          <w:rFonts w:ascii="Times New Roman" w:eastAsia="Times New Roman" w:hAnsi="Times New Roman" w:cs="Times New Roman"/>
          <w:color w:val="212121"/>
          <w:lang w:eastAsia="en-GB"/>
        </w:rPr>
        <w:t xml:space="preserve">, although there was a large dissent on the issue of whether there was a violation of Article 10, </w:t>
      </w:r>
      <w:r w:rsidR="00FA3F66">
        <w:rPr>
          <w:rFonts w:ascii="Times New Roman" w:eastAsia="Times New Roman" w:hAnsi="Times New Roman" w:cs="Times New Roman"/>
          <w:color w:val="212121"/>
          <w:lang w:eastAsia="en-GB"/>
        </w:rPr>
        <w:t xml:space="preserve">with </w:t>
      </w:r>
      <w:r w:rsidR="00A91170">
        <w:rPr>
          <w:rFonts w:ascii="Times New Roman" w:eastAsia="Times New Roman" w:hAnsi="Times New Roman" w:cs="Times New Roman"/>
          <w:color w:val="212121"/>
          <w:lang w:eastAsia="en-GB"/>
        </w:rPr>
        <w:t>seven of the 17 judges dis</w:t>
      </w:r>
      <w:r w:rsidR="005B6C51">
        <w:rPr>
          <w:rFonts w:ascii="Times New Roman" w:eastAsia="Times New Roman" w:hAnsi="Times New Roman" w:cs="Times New Roman"/>
          <w:color w:val="212121"/>
          <w:lang w:eastAsia="en-GB"/>
        </w:rPr>
        <w:t>senting</w:t>
      </w:r>
      <w:r w:rsidR="00A91170">
        <w:rPr>
          <w:rFonts w:ascii="Times New Roman" w:eastAsia="Times New Roman" w:hAnsi="Times New Roman" w:cs="Times New Roman"/>
          <w:color w:val="212121"/>
          <w:lang w:eastAsia="en-GB"/>
        </w:rPr>
        <w:t>. The majority observed that the domestic court</w:t>
      </w:r>
      <w:r w:rsidR="003703AC" w:rsidRPr="008C25EF">
        <w:rPr>
          <w:rFonts w:ascii="Times New Roman" w:eastAsia="Times New Roman" w:hAnsi="Times New Roman" w:cs="Times New Roman"/>
          <w:color w:val="212121"/>
          <w:lang w:eastAsia="en-GB"/>
        </w:rPr>
        <w:t xml:space="preserve"> “</w:t>
      </w:r>
      <w:r w:rsidR="003703AC" w:rsidRPr="008C25EF">
        <w:rPr>
          <w:rFonts w:ascii="Times New Roman" w:eastAsia="Times New Roman" w:hAnsi="Times New Roman" w:cs="Times New Roman"/>
          <w:i/>
          <w:iCs/>
          <w:color w:val="212121"/>
          <w:lang w:eastAsia="en-GB"/>
        </w:rPr>
        <w:t xml:space="preserve">made no reference to the conviction’s necessity in a democratic </w:t>
      </w:r>
      <w:proofErr w:type="gramStart"/>
      <w:r w:rsidR="003703AC" w:rsidRPr="008C25EF">
        <w:rPr>
          <w:rFonts w:ascii="Times New Roman" w:eastAsia="Times New Roman" w:hAnsi="Times New Roman" w:cs="Times New Roman"/>
          <w:i/>
          <w:iCs/>
          <w:color w:val="212121"/>
          <w:lang w:eastAsia="en-GB"/>
        </w:rPr>
        <w:t>society, and</w:t>
      </w:r>
      <w:proofErr w:type="gramEnd"/>
      <w:r w:rsidR="003703AC" w:rsidRPr="008C25EF">
        <w:rPr>
          <w:rFonts w:ascii="Times New Roman" w:eastAsia="Times New Roman" w:hAnsi="Times New Roman" w:cs="Times New Roman"/>
          <w:i/>
          <w:iCs/>
          <w:color w:val="212121"/>
          <w:lang w:eastAsia="en-GB"/>
        </w:rPr>
        <w:t xml:space="preserve"> did not engage in any discussion of the various factors that bear on that point</w:t>
      </w:r>
      <w:r w:rsidR="003703AC" w:rsidRPr="008C25EF">
        <w:rPr>
          <w:rFonts w:ascii="Times New Roman" w:eastAsia="Times New Roman" w:hAnsi="Times New Roman" w:cs="Times New Roman"/>
          <w:color w:val="212121"/>
          <w:lang w:eastAsia="en-GB"/>
        </w:rPr>
        <w:t>”. The</w:t>
      </w:r>
      <w:r w:rsidR="00A91170">
        <w:rPr>
          <w:rFonts w:ascii="Times New Roman" w:eastAsia="Times New Roman" w:hAnsi="Times New Roman" w:cs="Times New Roman"/>
          <w:color w:val="212121"/>
          <w:lang w:eastAsia="en-GB"/>
        </w:rPr>
        <w:t>y</w:t>
      </w:r>
      <w:r w:rsidR="003703AC" w:rsidRPr="008C25EF">
        <w:rPr>
          <w:rFonts w:ascii="Times New Roman" w:eastAsia="Times New Roman" w:hAnsi="Times New Roman" w:cs="Times New Roman"/>
          <w:color w:val="212121"/>
          <w:lang w:eastAsia="en-GB"/>
        </w:rPr>
        <w:t xml:space="preserve"> stated at §278:</w:t>
      </w:r>
    </w:p>
    <w:p w14:paraId="59844940" w14:textId="77777777" w:rsidR="00A91170" w:rsidRDefault="00A91170" w:rsidP="00824073">
      <w:pPr>
        <w:pStyle w:val="ListParagraph"/>
        <w:spacing w:line="360" w:lineRule="auto"/>
        <w:jc w:val="both"/>
        <w:rPr>
          <w:rFonts w:ascii="Times New Roman" w:eastAsia="Times New Roman" w:hAnsi="Times New Roman" w:cs="Times New Roman"/>
          <w:i/>
          <w:iCs/>
          <w:color w:val="212121"/>
          <w:lang w:eastAsia="en-GB"/>
        </w:rPr>
      </w:pPr>
    </w:p>
    <w:p w14:paraId="302588FD" w14:textId="18ADAAF5" w:rsidR="008C25EF" w:rsidRPr="00234736" w:rsidRDefault="003703AC" w:rsidP="00234736">
      <w:pPr>
        <w:spacing w:line="360" w:lineRule="auto"/>
        <w:ind w:left="644"/>
        <w:jc w:val="both"/>
        <w:rPr>
          <w:rFonts w:ascii="Times New Roman" w:eastAsia="Times New Roman" w:hAnsi="Times New Roman" w:cs="Times New Roman"/>
          <w:color w:val="212121"/>
          <w:lang w:eastAsia="en-GB"/>
        </w:rPr>
      </w:pPr>
      <w:r w:rsidRPr="00234736">
        <w:rPr>
          <w:rFonts w:ascii="Times New Roman" w:eastAsia="Times New Roman" w:hAnsi="Times New Roman" w:cs="Times New Roman"/>
          <w:i/>
          <w:iCs/>
          <w:color w:val="212121"/>
          <w:lang w:eastAsia="en-GB"/>
        </w:rPr>
        <w:lastRenderedPageBreak/>
        <w:t>“</w:t>
      </w:r>
      <w:proofErr w:type="gramStart"/>
      <w:r w:rsidRPr="00234736">
        <w:rPr>
          <w:rFonts w:ascii="Times New Roman" w:eastAsia="Times New Roman" w:hAnsi="Times New Roman" w:cs="Times New Roman"/>
          <w:i/>
          <w:iCs/>
          <w:color w:val="212121"/>
          <w:lang w:eastAsia="en-GB"/>
        </w:rPr>
        <w:t>an</w:t>
      </w:r>
      <w:proofErr w:type="gramEnd"/>
      <w:r w:rsidRPr="00234736">
        <w:rPr>
          <w:rFonts w:ascii="Times New Roman" w:eastAsia="Times New Roman" w:hAnsi="Times New Roman" w:cs="Times New Roman"/>
          <w:i/>
          <w:iCs/>
          <w:color w:val="212121"/>
          <w:lang w:eastAsia="en-GB"/>
        </w:rPr>
        <w:t xml:space="preserve"> interference with the right to freedom of expression that takes the form of a criminal conviction inevitably requires </w:t>
      </w:r>
      <w:r w:rsidRPr="00234736">
        <w:rPr>
          <w:rFonts w:ascii="Times New Roman" w:eastAsia="Times New Roman" w:hAnsi="Times New Roman" w:cs="Times New Roman"/>
          <w:b/>
          <w:bCs/>
          <w:i/>
          <w:iCs/>
          <w:color w:val="212121"/>
          <w:u w:val="single"/>
          <w:lang w:eastAsia="en-GB"/>
        </w:rPr>
        <w:t>detailed judicial assessment</w:t>
      </w:r>
      <w:r w:rsidRPr="00234736">
        <w:rPr>
          <w:rFonts w:ascii="Times New Roman" w:eastAsia="Times New Roman" w:hAnsi="Times New Roman" w:cs="Times New Roman"/>
          <w:i/>
          <w:iCs/>
          <w:color w:val="212121"/>
          <w:lang w:eastAsia="en-GB"/>
        </w:rPr>
        <w:t xml:space="preserve"> of the specific conduct sought to be punished. In this type of case, it is normally not sufficient that the interference was imposed because its subject matter fell within a particular category or was caught by a legal rule formulated in general terms; </w:t>
      </w:r>
      <w:r w:rsidRPr="00234736">
        <w:rPr>
          <w:rFonts w:ascii="Times New Roman" w:eastAsia="Times New Roman" w:hAnsi="Times New Roman" w:cs="Times New Roman"/>
          <w:i/>
          <w:iCs/>
          <w:color w:val="212121"/>
          <w:u w:val="single"/>
          <w:lang w:eastAsia="en-GB"/>
        </w:rPr>
        <w:t>what is rather required is that it was necessary in the specific circumstances</w:t>
      </w:r>
      <w:r w:rsidRPr="00234736">
        <w:rPr>
          <w:rFonts w:ascii="Times New Roman" w:eastAsia="Times New Roman" w:hAnsi="Times New Roman" w:cs="Times New Roman"/>
          <w:i/>
          <w:iCs/>
          <w:color w:val="212121"/>
          <w:lang w:eastAsia="en-GB"/>
        </w:rPr>
        <w:t xml:space="preserve">” </w:t>
      </w:r>
      <w:r w:rsidRPr="00234736">
        <w:rPr>
          <w:rFonts w:ascii="Times New Roman" w:eastAsia="Times New Roman" w:hAnsi="Times New Roman" w:cs="Times New Roman"/>
          <w:color w:val="212121"/>
          <w:lang w:eastAsia="en-GB"/>
        </w:rPr>
        <w:t>[Emphasis added]</w:t>
      </w:r>
    </w:p>
    <w:p w14:paraId="361E9C89" w14:textId="77777777" w:rsidR="008C25EF" w:rsidRDefault="008C25EF" w:rsidP="00824073">
      <w:pPr>
        <w:spacing w:line="360" w:lineRule="auto"/>
        <w:jc w:val="both"/>
        <w:rPr>
          <w:rFonts w:ascii="Times New Roman" w:eastAsia="Times New Roman" w:hAnsi="Times New Roman" w:cs="Times New Roman"/>
          <w:color w:val="212121"/>
          <w:lang w:eastAsia="en-GB"/>
        </w:rPr>
      </w:pPr>
    </w:p>
    <w:p w14:paraId="55E2075E" w14:textId="39E428EE" w:rsidR="008C25EF" w:rsidRPr="008C25EF" w:rsidRDefault="003703AC"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color w:val="212121"/>
          <w:lang w:eastAsia="en-GB"/>
        </w:rPr>
        <w:t xml:space="preserve">This was the first time </w:t>
      </w:r>
      <w:r w:rsidR="005B6C51">
        <w:rPr>
          <w:rFonts w:ascii="Times New Roman" w:eastAsia="Times New Roman" w:hAnsi="Times New Roman" w:cs="Times New Roman"/>
          <w:color w:val="212121"/>
          <w:lang w:eastAsia="en-GB"/>
        </w:rPr>
        <w:t xml:space="preserve">that </w:t>
      </w:r>
      <w:r w:rsidR="00234736">
        <w:rPr>
          <w:rFonts w:ascii="Times New Roman" w:eastAsia="Times New Roman" w:hAnsi="Times New Roman" w:cs="Times New Roman"/>
          <w:color w:val="212121"/>
          <w:lang w:eastAsia="en-GB"/>
        </w:rPr>
        <w:t xml:space="preserve">the </w:t>
      </w:r>
      <w:r w:rsidRPr="008C25EF">
        <w:rPr>
          <w:rFonts w:ascii="Times New Roman" w:eastAsia="Times New Roman" w:hAnsi="Times New Roman" w:cs="Times New Roman"/>
          <w:color w:val="212121"/>
          <w:lang w:eastAsia="en-GB"/>
        </w:rPr>
        <w:t xml:space="preserve">Strasbourg </w:t>
      </w:r>
      <w:r w:rsidR="00234736">
        <w:rPr>
          <w:rFonts w:ascii="Times New Roman" w:eastAsia="Times New Roman" w:hAnsi="Times New Roman" w:cs="Times New Roman"/>
          <w:color w:val="212121"/>
          <w:lang w:eastAsia="en-GB"/>
        </w:rPr>
        <w:t xml:space="preserve">court </w:t>
      </w:r>
      <w:r w:rsidRPr="008C25EF">
        <w:rPr>
          <w:rFonts w:ascii="Times New Roman" w:eastAsia="Times New Roman" w:hAnsi="Times New Roman" w:cs="Times New Roman"/>
          <w:color w:val="212121"/>
          <w:lang w:eastAsia="en-GB"/>
        </w:rPr>
        <w:t>required not just national authorities to apply standards in conformity with ECHR principles, but for national courts specifically to engage in a detailed judicial assessment of the specific conduct.</w:t>
      </w:r>
      <w:r w:rsidR="008A1762" w:rsidRPr="008C25EF">
        <w:rPr>
          <w:rFonts w:ascii="Times New Roman" w:eastAsia="Times New Roman" w:hAnsi="Times New Roman" w:cs="Times New Roman"/>
          <w:color w:val="212121"/>
          <w:lang w:eastAsia="en-GB"/>
        </w:rPr>
        <w:t xml:space="preserve"> As the </w:t>
      </w:r>
      <w:r w:rsidR="00A91170">
        <w:rPr>
          <w:rFonts w:ascii="Times New Roman" w:eastAsia="Times New Roman" w:hAnsi="Times New Roman" w:cs="Times New Roman"/>
          <w:color w:val="212121"/>
          <w:lang w:eastAsia="en-GB"/>
        </w:rPr>
        <w:t>E</w:t>
      </w:r>
      <w:r w:rsidR="008A1762" w:rsidRPr="008C25EF">
        <w:rPr>
          <w:rFonts w:ascii="Times New Roman" w:eastAsia="Times New Roman" w:hAnsi="Times New Roman" w:cs="Times New Roman"/>
          <w:color w:val="212121"/>
          <w:lang w:eastAsia="en-GB"/>
        </w:rPr>
        <w:t>C</w:t>
      </w:r>
      <w:r w:rsidR="00A91170">
        <w:rPr>
          <w:rFonts w:ascii="Times New Roman" w:eastAsia="Times New Roman" w:hAnsi="Times New Roman" w:cs="Times New Roman"/>
          <w:color w:val="212121"/>
          <w:lang w:eastAsia="en-GB"/>
        </w:rPr>
        <w:t>tHR</w:t>
      </w:r>
      <w:r w:rsidR="008A1762" w:rsidRPr="008C25EF">
        <w:rPr>
          <w:rFonts w:ascii="Times New Roman" w:eastAsia="Times New Roman" w:hAnsi="Times New Roman" w:cs="Times New Roman"/>
          <w:color w:val="212121"/>
          <w:lang w:eastAsia="en-GB"/>
        </w:rPr>
        <w:t xml:space="preserve"> was not satisfied that the Swiss court had conducted the necessary balancing exercise (or any </w:t>
      </w:r>
      <w:r w:rsidR="00621359" w:rsidRPr="008C25EF">
        <w:rPr>
          <w:rFonts w:ascii="Times New Roman" w:eastAsia="Times New Roman" w:hAnsi="Times New Roman" w:cs="Times New Roman"/>
          <w:color w:val="212121"/>
          <w:lang w:eastAsia="en-GB"/>
        </w:rPr>
        <w:t>such</w:t>
      </w:r>
      <w:r w:rsidR="008A1762" w:rsidRPr="008C25EF">
        <w:rPr>
          <w:rFonts w:ascii="Times New Roman" w:eastAsia="Times New Roman" w:hAnsi="Times New Roman" w:cs="Times New Roman"/>
          <w:color w:val="212121"/>
          <w:lang w:eastAsia="en-GB"/>
        </w:rPr>
        <w:t xml:space="preserve"> exercise), </w:t>
      </w:r>
      <w:r w:rsidR="00A91170">
        <w:rPr>
          <w:rFonts w:ascii="Times New Roman" w:eastAsia="Times New Roman" w:hAnsi="Times New Roman" w:cs="Times New Roman"/>
          <w:color w:val="212121"/>
          <w:lang w:eastAsia="en-GB"/>
        </w:rPr>
        <w:t xml:space="preserve">it </w:t>
      </w:r>
      <w:r w:rsidR="008A1762" w:rsidRPr="008C25EF">
        <w:rPr>
          <w:rFonts w:ascii="Times New Roman" w:eastAsia="Times New Roman" w:hAnsi="Times New Roman" w:cs="Times New Roman"/>
          <w:color w:val="212121"/>
          <w:lang w:eastAsia="en-GB"/>
        </w:rPr>
        <w:t xml:space="preserve">held </w:t>
      </w:r>
      <w:r w:rsidR="00621359" w:rsidRPr="008C25EF">
        <w:rPr>
          <w:rFonts w:ascii="Times New Roman" w:eastAsia="Times New Roman" w:hAnsi="Times New Roman" w:cs="Times New Roman"/>
          <w:color w:val="212121"/>
          <w:lang w:eastAsia="en-GB"/>
        </w:rPr>
        <w:t xml:space="preserve">that </w:t>
      </w:r>
      <w:r w:rsidR="008A1762" w:rsidRPr="008C25EF">
        <w:rPr>
          <w:rFonts w:ascii="Times New Roman" w:eastAsia="Times New Roman" w:hAnsi="Times New Roman" w:cs="Times New Roman"/>
          <w:color w:val="212121"/>
          <w:lang w:eastAsia="en-GB"/>
        </w:rPr>
        <w:t xml:space="preserve">it had to carry out </w:t>
      </w:r>
      <w:r w:rsidR="00621359" w:rsidRPr="008C25EF">
        <w:rPr>
          <w:rFonts w:ascii="Times New Roman" w:eastAsia="Times New Roman" w:hAnsi="Times New Roman" w:cs="Times New Roman"/>
          <w:color w:val="212121"/>
          <w:lang w:eastAsia="en-GB"/>
        </w:rPr>
        <w:t>this exercise</w:t>
      </w:r>
      <w:r w:rsidR="008A1762" w:rsidRPr="008C25EF">
        <w:rPr>
          <w:rFonts w:ascii="Times New Roman" w:eastAsia="Times New Roman" w:hAnsi="Times New Roman" w:cs="Times New Roman"/>
          <w:color w:val="212121"/>
          <w:lang w:eastAsia="en-GB"/>
        </w:rPr>
        <w:t xml:space="preserve"> itself. Taking into account various elements, including that the statements related to a matter of public interest and did not amount to a call for hatred or intolerance, the Court found </w:t>
      </w:r>
      <w:r w:rsidR="008C25EF">
        <w:rPr>
          <w:rFonts w:ascii="Times New Roman" w:eastAsia="Times New Roman" w:hAnsi="Times New Roman" w:cs="Times New Roman"/>
          <w:color w:val="212121"/>
          <w:lang w:eastAsia="en-GB"/>
        </w:rPr>
        <w:t xml:space="preserve">that </w:t>
      </w:r>
      <w:r w:rsidR="008A1762" w:rsidRPr="008C25EF">
        <w:rPr>
          <w:rFonts w:ascii="Times New Roman" w:eastAsia="Times New Roman" w:hAnsi="Times New Roman" w:cs="Times New Roman"/>
          <w:color w:val="212121"/>
          <w:lang w:eastAsia="en-GB"/>
        </w:rPr>
        <w:t xml:space="preserve">it had not been necessary in a democratic society to subject the applicant to a criminal penalty in order to protect the rights of the Armenian community at stake in the case. </w:t>
      </w:r>
      <w:r w:rsidR="00983E5A" w:rsidRPr="008C25EF">
        <w:rPr>
          <w:rFonts w:ascii="Times New Roman" w:eastAsia="Times New Roman" w:hAnsi="Times New Roman" w:cs="Times New Roman"/>
          <w:color w:val="212121"/>
          <w:lang w:eastAsia="en-GB"/>
        </w:rPr>
        <w:t>Whil</w:t>
      </w:r>
      <w:r w:rsidR="00A91170">
        <w:rPr>
          <w:rFonts w:ascii="Times New Roman" w:eastAsia="Times New Roman" w:hAnsi="Times New Roman" w:cs="Times New Roman"/>
          <w:color w:val="212121"/>
          <w:lang w:eastAsia="en-GB"/>
        </w:rPr>
        <w:t>st, as already pointed out above,</w:t>
      </w:r>
      <w:r w:rsidR="00983E5A" w:rsidRPr="008C25EF">
        <w:rPr>
          <w:rFonts w:ascii="Times New Roman" w:eastAsia="Times New Roman" w:hAnsi="Times New Roman" w:cs="Times New Roman"/>
          <w:color w:val="212121"/>
          <w:lang w:eastAsia="en-GB"/>
        </w:rPr>
        <w:t xml:space="preserve"> the</w:t>
      </w:r>
      <w:r w:rsidR="008A1762" w:rsidRPr="008C25EF">
        <w:rPr>
          <w:rFonts w:ascii="Times New Roman" w:eastAsia="Times New Roman" w:hAnsi="Times New Roman" w:cs="Times New Roman"/>
          <w:color w:val="212121"/>
          <w:lang w:eastAsia="en-GB"/>
        </w:rPr>
        <w:t xml:space="preserve"> Article 10 violation was found by a majority of </w:t>
      </w:r>
      <w:r w:rsidR="005B6C51">
        <w:rPr>
          <w:rFonts w:ascii="Times New Roman" w:eastAsia="Times New Roman" w:hAnsi="Times New Roman" w:cs="Times New Roman"/>
          <w:color w:val="212121"/>
          <w:lang w:eastAsia="en-GB"/>
        </w:rPr>
        <w:t>ten to seven</w:t>
      </w:r>
      <w:r w:rsidR="008A1762" w:rsidRPr="008C25EF">
        <w:rPr>
          <w:rFonts w:ascii="Times New Roman" w:eastAsia="Times New Roman" w:hAnsi="Times New Roman" w:cs="Times New Roman"/>
          <w:color w:val="212121"/>
          <w:lang w:eastAsia="en-GB"/>
        </w:rPr>
        <w:t xml:space="preserve">, subsequent </w:t>
      </w:r>
      <w:r w:rsidR="00A91170">
        <w:rPr>
          <w:rFonts w:ascii="Times New Roman" w:eastAsia="Times New Roman" w:hAnsi="Times New Roman" w:cs="Times New Roman"/>
          <w:color w:val="212121"/>
          <w:lang w:eastAsia="en-GB"/>
        </w:rPr>
        <w:t>ECtHR judgments</w:t>
      </w:r>
      <w:r w:rsidR="008A1762" w:rsidRPr="008C25EF">
        <w:rPr>
          <w:rFonts w:ascii="Times New Roman" w:eastAsia="Times New Roman" w:hAnsi="Times New Roman" w:cs="Times New Roman"/>
          <w:color w:val="212121"/>
          <w:lang w:eastAsia="en-GB"/>
        </w:rPr>
        <w:t xml:space="preserve"> have expanded on the requirement for domestic courts to conduct this kind of analysis</w:t>
      </w:r>
      <w:r w:rsidR="00A91170">
        <w:rPr>
          <w:rFonts w:ascii="Times New Roman" w:eastAsia="Times New Roman" w:hAnsi="Times New Roman" w:cs="Times New Roman"/>
          <w:color w:val="212121"/>
          <w:lang w:eastAsia="en-GB"/>
        </w:rPr>
        <w:t xml:space="preserve">: e.g. </w:t>
      </w:r>
      <w:proofErr w:type="spellStart"/>
      <w:r w:rsidRPr="008C25EF">
        <w:rPr>
          <w:rFonts w:ascii="Times New Roman" w:eastAsia="Times New Roman" w:hAnsi="Times New Roman" w:cs="Times New Roman"/>
          <w:i/>
          <w:iCs/>
          <w:color w:val="212121"/>
          <w:lang w:eastAsia="en-GB"/>
        </w:rPr>
        <w:t>Saygılı</w:t>
      </w:r>
      <w:proofErr w:type="spellEnd"/>
      <w:r w:rsidRPr="008C25EF">
        <w:rPr>
          <w:rFonts w:ascii="Times New Roman" w:eastAsia="Times New Roman" w:hAnsi="Times New Roman" w:cs="Times New Roman"/>
          <w:i/>
          <w:iCs/>
          <w:color w:val="212121"/>
          <w:lang w:eastAsia="en-GB"/>
        </w:rPr>
        <w:t xml:space="preserve"> and </w:t>
      </w:r>
      <w:proofErr w:type="spellStart"/>
      <w:r w:rsidRPr="008C25EF">
        <w:rPr>
          <w:rFonts w:ascii="Times New Roman" w:eastAsia="Times New Roman" w:hAnsi="Times New Roman" w:cs="Times New Roman"/>
          <w:i/>
          <w:iCs/>
          <w:color w:val="212121"/>
          <w:lang w:eastAsia="en-GB"/>
        </w:rPr>
        <w:t>Seyman</w:t>
      </w:r>
      <w:proofErr w:type="spellEnd"/>
      <w:r w:rsidRPr="008C25EF">
        <w:rPr>
          <w:rFonts w:ascii="Times New Roman" w:eastAsia="Times New Roman" w:hAnsi="Times New Roman" w:cs="Times New Roman"/>
          <w:i/>
          <w:iCs/>
          <w:color w:val="212121"/>
          <w:lang w:eastAsia="en-GB"/>
        </w:rPr>
        <w:t xml:space="preserve"> v. Turkey</w:t>
      </w:r>
      <w:r w:rsidRPr="008C25EF">
        <w:rPr>
          <w:rFonts w:ascii="Times New Roman" w:eastAsia="Times New Roman" w:hAnsi="Times New Roman" w:cs="Times New Roman"/>
          <w:color w:val="212121"/>
          <w:lang w:eastAsia="en-GB"/>
        </w:rPr>
        <w:t>, App. No. 51041/99, 16 April 2018</w:t>
      </w:r>
      <w:r w:rsidR="00A91170">
        <w:rPr>
          <w:rFonts w:ascii="Times New Roman" w:eastAsia="Times New Roman" w:hAnsi="Times New Roman" w:cs="Times New Roman"/>
          <w:color w:val="212121"/>
          <w:lang w:eastAsia="en-GB"/>
        </w:rPr>
        <w:t xml:space="preserve">, </w:t>
      </w:r>
      <w:proofErr w:type="spellStart"/>
      <w:r w:rsidRPr="008C25EF">
        <w:rPr>
          <w:rFonts w:ascii="Times New Roman" w:eastAsia="Times New Roman" w:hAnsi="Times New Roman" w:cs="Times New Roman"/>
          <w:i/>
          <w:iCs/>
          <w:color w:val="212121"/>
          <w:lang w:eastAsia="en-GB"/>
        </w:rPr>
        <w:t>Handzhiyski</w:t>
      </w:r>
      <w:proofErr w:type="spellEnd"/>
      <w:r w:rsidRPr="008C25EF">
        <w:rPr>
          <w:rFonts w:ascii="Times New Roman" w:eastAsia="Times New Roman" w:hAnsi="Times New Roman" w:cs="Times New Roman"/>
          <w:i/>
          <w:iCs/>
          <w:color w:val="212121"/>
          <w:lang w:eastAsia="en-GB"/>
        </w:rPr>
        <w:t xml:space="preserve"> v. Bulgaria</w:t>
      </w:r>
      <w:r w:rsidRPr="008C25EF">
        <w:rPr>
          <w:rFonts w:ascii="Times New Roman" w:eastAsia="Times New Roman" w:hAnsi="Times New Roman" w:cs="Times New Roman"/>
          <w:color w:val="212121"/>
          <w:lang w:eastAsia="en-GB"/>
        </w:rPr>
        <w:t xml:space="preserve">, App. No. 10783/14, 6 </w:t>
      </w:r>
      <w:r w:rsidR="00A91170">
        <w:rPr>
          <w:rFonts w:ascii="Times New Roman" w:eastAsia="Times New Roman" w:hAnsi="Times New Roman" w:cs="Times New Roman"/>
          <w:color w:val="212121"/>
          <w:lang w:eastAsia="en-GB"/>
        </w:rPr>
        <w:t xml:space="preserve">April </w:t>
      </w:r>
      <w:r w:rsidRPr="008C25EF">
        <w:rPr>
          <w:rFonts w:ascii="Times New Roman" w:eastAsia="Times New Roman" w:hAnsi="Times New Roman" w:cs="Times New Roman"/>
          <w:color w:val="212121"/>
          <w:lang w:eastAsia="en-GB"/>
        </w:rPr>
        <w:t xml:space="preserve">2021 and </w:t>
      </w:r>
      <w:proofErr w:type="spellStart"/>
      <w:r w:rsidRPr="008C25EF">
        <w:rPr>
          <w:rFonts w:ascii="Times New Roman" w:eastAsia="Times New Roman" w:hAnsi="Times New Roman" w:cs="Times New Roman"/>
          <w:i/>
          <w:iCs/>
          <w:color w:val="212121"/>
          <w:lang w:eastAsia="en-GB"/>
        </w:rPr>
        <w:t>Bumbes</w:t>
      </w:r>
      <w:proofErr w:type="spellEnd"/>
      <w:r w:rsidRPr="008C25EF">
        <w:rPr>
          <w:rFonts w:ascii="Times New Roman" w:eastAsia="Times New Roman" w:hAnsi="Times New Roman" w:cs="Times New Roman"/>
          <w:i/>
          <w:iCs/>
          <w:color w:val="212121"/>
          <w:lang w:eastAsia="en-GB"/>
        </w:rPr>
        <w:t xml:space="preserve"> v. Romania</w:t>
      </w:r>
      <w:r w:rsidRPr="008C25EF">
        <w:rPr>
          <w:rFonts w:ascii="Times New Roman" w:eastAsia="Times New Roman" w:hAnsi="Times New Roman" w:cs="Times New Roman"/>
          <w:color w:val="212121"/>
          <w:lang w:eastAsia="en-GB"/>
        </w:rPr>
        <w:t>, App no. 18079/15, 3 May 2022</w:t>
      </w:r>
      <w:r w:rsidR="00A44B1C">
        <w:rPr>
          <w:rFonts w:ascii="Times New Roman" w:eastAsia="Times New Roman" w:hAnsi="Times New Roman" w:cs="Times New Roman"/>
          <w:color w:val="212121"/>
          <w:lang w:eastAsia="en-GB"/>
        </w:rPr>
        <w:t>.</w:t>
      </w:r>
    </w:p>
    <w:p w14:paraId="5E1BEE97" w14:textId="77777777" w:rsidR="00A91170" w:rsidRPr="00A91170" w:rsidRDefault="00A91170" w:rsidP="00824073">
      <w:pPr>
        <w:pStyle w:val="ListParagraph"/>
        <w:spacing w:line="360" w:lineRule="auto"/>
        <w:jc w:val="both"/>
        <w:rPr>
          <w:rFonts w:ascii="Times New Roman" w:eastAsia="Times New Roman" w:hAnsi="Times New Roman" w:cs="Times New Roman"/>
          <w:i/>
          <w:iCs/>
          <w:color w:val="212121"/>
          <w:lang w:eastAsia="en-GB"/>
        </w:rPr>
      </w:pPr>
    </w:p>
    <w:p w14:paraId="7E22E952" w14:textId="6BED83CC" w:rsidR="005B6C51" w:rsidRPr="005B6C51" w:rsidRDefault="00534BFC" w:rsidP="005B6C51">
      <w:pPr>
        <w:pStyle w:val="ListParagraph"/>
        <w:numPr>
          <w:ilvl w:val="0"/>
          <w:numId w:val="1"/>
        </w:numPr>
        <w:spacing w:line="360" w:lineRule="auto"/>
        <w:jc w:val="both"/>
        <w:rPr>
          <w:rFonts w:ascii="Times New Roman" w:eastAsia="Times New Roman" w:hAnsi="Times New Roman" w:cs="Times New Roman"/>
          <w:lang w:eastAsia="en-GB"/>
        </w:rPr>
      </w:pPr>
      <w:r w:rsidRPr="008C25EF">
        <w:rPr>
          <w:rFonts w:ascii="Times New Roman" w:eastAsia="Times New Roman" w:hAnsi="Times New Roman" w:cs="Times New Roman"/>
          <w:lang w:val="en-GB" w:eastAsia="en-GB"/>
        </w:rPr>
        <w:t xml:space="preserve">In </w:t>
      </w:r>
      <w:r w:rsidRPr="008C25EF">
        <w:rPr>
          <w:rFonts w:ascii="Times New Roman" w:eastAsia="Times New Roman" w:hAnsi="Times New Roman" w:cs="Times New Roman"/>
          <w:b/>
          <w:bCs/>
          <w:i/>
          <w:iCs/>
          <w:lang w:val="en-GB" w:eastAsia="en-GB"/>
        </w:rPr>
        <w:t>Saygili and Karataş v</w:t>
      </w:r>
      <w:r w:rsidR="008C25EF" w:rsidRPr="008C25EF">
        <w:rPr>
          <w:rFonts w:ascii="Times New Roman" w:eastAsia="Times New Roman" w:hAnsi="Times New Roman" w:cs="Times New Roman"/>
          <w:b/>
          <w:bCs/>
          <w:i/>
          <w:iCs/>
          <w:lang w:val="en-GB" w:eastAsia="en-GB"/>
        </w:rPr>
        <w:t>.</w:t>
      </w:r>
      <w:r w:rsidRPr="008C25EF">
        <w:rPr>
          <w:rFonts w:ascii="Times New Roman" w:eastAsia="Times New Roman" w:hAnsi="Times New Roman" w:cs="Times New Roman"/>
          <w:b/>
          <w:bCs/>
          <w:i/>
          <w:iCs/>
          <w:lang w:val="en-GB" w:eastAsia="en-GB"/>
        </w:rPr>
        <w:t xml:space="preserve"> Turkey</w:t>
      </w:r>
      <w:r w:rsidRPr="008C25EF">
        <w:rPr>
          <w:rFonts w:ascii="Times New Roman" w:eastAsia="Times New Roman" w:hAnsi="Times New Roman" w:cs="Times New Roman"/>
          <w:b/>
          <w:bCs/>
          <w:lang w:val="en-GB" w:eastAsia="en-GB"/>
        </w:rPr>
        <w:t xml:space="preserve"> </w:t>
      </w:r>
      <w:r w:rsidRPr="008C25EF">
        <w:rPr>
          <w:rFonts w:ascii="Times New Roman" w:eastAsia="Times New Roman" w:hAnsi="Times New Roman" w:cs="Times New Roman"/>
          <w:lang w:val="en-GB" w:eastAsia="en-GB"/>
        </w:rPr>
        <w:t>(Application no. 6875/05</w:t>
      </w:r>
      <w:r w:rsidR="00234736">
        <w:rPr>
          <w:rFonts w:ascii="Times New Roman" w:eastAsia="Times New Roman" w:hAnsi="Times New Roman" w:cs="Times New Roman"/>
          <w:lang w:val="en-GB" w:eastAsia="en-GB"/>
        </w:rPr>
        <w:t>,</w:t>
      </w:r>
      <w:r w:rsidRPr="008C25EF">
        <w:rPr>
          <w:rFonts w:ascii="Times New Roman" w:eastAsia="Times New Roman" w:hAnsi="Times New Roman" w:cs="Times New Roman"/>
          <w:lang w:val="en-GB" w:eastAsia="en-GB"/>
        </w:rPr>
        <w:t xml:space="preserve"> 16 January 2018), the Court noted</w:t>
      </w:r>
      <w:r w:rsidR="004F1D7A">
        <w:rPr>
          <w:rFonts w:ascii="Times New Roman" w:eastAsia="Times New Roman" w:hAnsi="Times New Roman" w:cs="Times New Roman"/>
          <w:lang w:val="en-GB" w:eastAsia="en-GB"/>
        </w:rPr>
        <w:t xml:space="preserve">, </w:t>
      </w:r>
      <w:r w:rsidR="004F1D7A" w:rsidRPr="004F1D7A">
        <w:rPr>
          <w:rFonts w:ascii="Times New Roman" w:eastAsia="Times New Roman" w:hAnsi="Times New Roman" w:cs="Times New Roman"/>
          <w:lang w:eastAsia="en-GB"/>
        </w:rPr>
        <w:t>at §30</w:t>
      </w:r>
      <w:r w:rsidR="004F1D7A">
        <w:rPr>
          <w:rFonts w:ascii="Times New Roman" w:eastAsia="Times New Roman" w:hAnsi="Times New Roman" w:cs="Times New Roman"/>
          <w:lang w:eastAsia="en-GB"/>
        </w:rPr>
        <w:t xml:space="preserve">, </w:t>
      </w:r>
      <w:r w:rsidRPr="004F1D7A">
        <w:rPr>
          <w:rFonts w:ascii="Times New Roman" w:eastAsia="Times New Roman" w:hAnsi="Times New Roman" w:cs="Times New Roman"/>
          <w:lang w:val="en-GB" w:eastAsia="en-GB"/>
        </w:rPr>
        <w:t xml:space="preserve">that </w:t>
      </w:r>
      <w:r w:rsidRPr="004F1D7A">
        <w:rPr>
          <w:rFonts w:ascii="Times New Roman" w:eastAsia="Times New Roman" w:hAnsi="Times New Roman" w:cs="Times New Roman"/>
          <w:i/>
          <w:iCs/>
          <w:lang w:val="en-GB" w:eastAsia="en-GB"/>
        </w:rPr>
        <w:t>“[</w:t>
      </w:r>
      <w:proofErr w:type="spellStart"/>
      <w:r w:rsidRPr="004F1D7A">
        <w:rPr>
          <w:rFonts w:ascii="Times New Roman" w:eastAsia="Times New Roman" w:hAnsi="Times New Roman" w:cs="Times New Roman"/>
          <w:i/>
          <w:iCs/>
          <w:lang w:val="en-GB" w:eastAsia="en-GB"/>
        </w:rPr>
        <w:t>i</w:t>
      </w:r>
      <w:proofErr w:type="spellEnd"/>
      <w:r w:rsidRPr="004F1D7A">
        <w:rPr>
          <w:rFonts w:ascii="Times New Roman" w:eastAsia="Times New Roman" w:hAnsi="Times New Roman" w:cs="Times New Roman"/>
          <w:i/>
          <w:iCs/>
          <w:lang w:val="en-GB" w:eastAsia="en-GB"/>
        </w:rPr>
        <w:t>]n assessing the relevance and sufficiency of the national courts’ findings, the Court … takes into account the extent to which the former balanced the conflicting rights implicated in the case</w:t>
      </w:r>
      <w:r w:rsidR="004F1D7A">
        <w:rPr>
          <w:rFonts w:ascii="Times New Roman" w:eastAsia="Times New Roman" w:hAnsi="Times New Roman" w:cs="Times New Roman"/>
          <w:lang w:val="en-GB" w:eastAsia="en-GB"/>
        </w:rPr>
        <w:t>”</w:t>
      </w:r>
      <w:r w:rsidRPr="004F1D7A">
        <w:rPr>
          <w:rFonts w:ascii="Times New Roman" w:eastAsia="Times New Roman" w:hAnsi="Times New Roman" w:cs="Times New Roman"/>
          <w:lang w:val="en-GB" w:eastAsia="en-GB"/>
        </w:rPr>
        <w:t xml:space="preserve"> </w:t>
      </w:r>
      <w:r w:rsidR="00A91170" w:rsidRPr="004F1D7A">
        <w:rPr>
          <w:rFonts w:ascii="Times New Roman" w:eastAsia="Times New Roman" w:hAnsi="Times New Roman" w:cs="Times New Roman"/>
          <w:lang w:val="en-GB" w:eastAsia="en-GB"/>
        </w:rPr>
        <w:t>In that case, the ECtHR held that</w:t>
      </w:r>
      <w:r w:rsidRPr="004F1D7A">
        <w:rPr>
          <w:rFonts w:ascii="Times New Roman" w:eastAsia="Times New Roman" w:hAnsi="Times New Roman" w:cs="Times New Roman"/>
          <w:lang w:val="en-GB" w:eastAsia="en-GB"/>
        </w:rPr>
        <w:t xml:space="preserve"> “</w:t>
      </w:r>
      <w:r w:rsidRPr="004F1D7A">
        <w:rPr>
          <w:rFonts w:ascii="Times New Roman" w:eastAsia="Times New Roman" w:hAnsi="Times New Roman" w:cs="Times New Roman"/>
          <w:i/>
          <w:iCs/>
          <w:lang w:val="en-GB" w:eastAsia="en-GB"/>
        </w:rPr>
        <w:t>the national courts did not carry out a balancing exercise of the competing interests at stake seen in the context in which the disputed remarks were made</w:t>
      </w:r>
      <w:r w:rsidRPr="004F1D7A">
        <w:rPr>
          <w:rFonts w:ascii="Times New Roman" w:eastAsia="Times New Roman" w:hAnsi="Times New Roman" w:cs="Times New Roman"/>
          <w:lang w:val="en-GB" w:eastAsia="en-GB"/>
        </w:rPr>
        <w:t>”</w:t>
      </w:r>
      <w:r w:rsidR="00824357">
        <w:rPr>
          <w:rFonts w:ascii="Times New Roman" w:eastAsia="Times New Roman" w:hAnsi="Times New Roman" w:cs="Times New Roman"/>
          <w:lang w:val="en-GB" w:eastAsia="en-GB"/>
        </w:rPr>
        <w:t xml:space="preserve"> (at §38)</w:t>
      </w:r>
      <w:r w:rsidRPr="004F1D7A">
        <w:rPr>
          <w:rFonts w:ascii="Times New Roman" w:eastAsia="Times New Roman" w:hAnsi="Times New Roman" w:cs="Times New Roman"/>
          <w:lang w:val="en-GB" w:eastAsia="en-GB"/>
        </w:rPr>
        <w:t>.</w:t>
      </w:r>
      <w:r w:rsidR="00824357" w:rsidRPr="004F1D7A">
        <w:rPr>
          <w:rFonts w:ascii="Times New Roman" w:eastAsia="Times New Roman" w:hAnsi="Times New Roman" w:cs="Times New Roman"/>
          <w:lang w:val="en-GB" w:eastAsia="en-GB"/>
        </w:rPr>
        <w:t xml:space="preserve"> </w:t>
      </w:r>
      <w:r w:rsidRPr="004F1D7A">
        <w:rPr>
          <w:rFonts w:ascii="Times New Roman" w:eastAsia="Times New Roman" w:hAnsi="Times New Roman" w:cs="Times New Roman"/>
          <w:lang w:val="en-GB" w:eastAsia="en-GB"/>
        </w:rPr>
        <w:t>The lack of detail and reasoning meant the Court was “</w:t>
      </w:r>
      <w:r w:rsidRPr="004F1D7A">
        <w:rPr>
          <w:rFonts w:ascii="Times New Roman" w:eastAsia="Times New Roman" w:hAnsi="Times New Roman" w:cs="Times New Roman"/>
          <w:i/>
          <w:iCs/>
          <w:lang w:val="en-GB" w:eastAsia="en-GB"/>
        </w:rPr>
        <w:t>unable to conclude that the national courts applied the standards which were in conformity with the principles embodied in Article 10</w:t>
      </w:r>
      <w:r w:rsidRPr="004F1D7A">
        <w:rPr>
          <w:rFonts w:ascii="Times New Roman" w:eastAsia="Times New Roman" w:hAnsi="Times New Roman" w:cs="Times New Roman"/>
          <w:lang w:val="en-GB" w:eastAsia="en-GB"/>
        </w:rPr>
        <w:t>”</w:t>
      </w:r>
      <w:r w:rsidR="00824357">
        <w:rPr>
          <w:rFonts w:ascii="Times New Roman" w:eastAsia="Times New Roman" w:hAnsi="Times New Roman" w:cs="Times New Roman"/>
          <w:lang w:val="en-GB" w:eastAsia="en-GB"/>
        </w:rPr>
        <w:t xml:space="preserve"> </w:t>
      </w:r>
      <w:r w:rsidR="00017308">
        <w:rPr>
          <w:rFonts w:ascii="Times New Roman" w:eastAsia="Times New Roman" w:hAnsi="Times New Roman" w:cs="Times New Roman"/>
          <w:lang w:val="en-GB" w:eastAsia="en-GB"/>
        </w:rPr>
        <w:t>(at §43)</w:t>
      </w:r>
      <w:r w:rsidRPr="004F1D7A">
        <w:rPr>
          <w:rFonts w:ascii="Times New Roman" w:eastAsia="Times New Roman" w:hAnsi="Times New Roman" w:cs="Times New Roman"/>
          <w:lang w:val="en-GB" w:eastAsia="en-GB"/>
        </w:rPr>
        <w:t>. The absen</w:t>
      </w:r>
      <w:r w:rsidR="00A91170" w:rsidRPr="004F1D7A">
        <w:rPr>
          <w:rFonts w:ascii="Times New Roman" w:eastAsia="Times New Roman" w:hAnsi="Times New Roman" w:cs="Times New Roman"/>
          <w:lang w:val="en-GB" w:eastAsia="en-GB"/>
        </w:rPr>
        <w:t xml:space="preserve">ce </w:t>
      </w:r>
      <w:r w:rsidRPr="004F1D7A">
        <w:rPr>
          <w:rFonts w:ascii="Times New Roman" w:eastAsia="Times New Roman" w:hAnsi="Times New Roman" w:cs="Times New Roman"/>
          <w:lang w:val="en-GB" w:eastAsia="en-GB"/>
        </w:rPr>
        <w:t xml:space="preserve">of relevant and sufficient reasons contributed to a finding of a violation of Article 10. </w:t>
      </w:r>
    </w:p>
    <w:p w14:paraId="1C5DF4D7" w14:textId="77777777" w:rsidR="005B6C51" w:rsidRPr="005B6C51" w:rsidRDefault="005B6C51" w:rsidP="005B6C51">
      <w:pPr>
        <w:pStyle w:val="ListParagraph"/>
        <w:rPr>
          <w:rFonts w:ascii="Times New Roman" w:eastAsia="Times New Roman" w:hAnsi="Times New Roman" w:cs="Times New Roman"/>
          <w:lang w:eastAsia="en-GB"/>
        </w:rPr>
      </w:pPr>
    </w:p>
    <w:p w14:paraId="20F29FF7" w14:textId="576895C5" w:rsidR="008C25EF" w:rsidRPr="005B6C51" w:rsidRDefault="00534BFC" w:rsidP="005B6C51">
      <w:pPr>
        <w:pStyle w:val="ListParagraph"/>
        <w:numPr>
          <w:ilvl w:val="0"/>
          <w:numId w:val="1"/>
        </w:numPr>
        <w:spacing w:line="360" w:lineRule="auto"/>
        <w:jc w:val="both"/>
        <w:rPr>
          <w:rFonts w:ascii="Times New Roman" w:eastAsia="Times New Roman" w:hAnsi="Times New Roman" w:cs="Times New Roman"/>
          <w:lang w:eastAsia="en-GB"/>
        </w:rPr>
      </w:pPr>
      <w:r w:rsidRPr="005B6C51">
        <w:rPr>
          <w:rFonts w:ascii="Times New Roman" w:eastAsia="Times New Roman" w:hAnsi="Times New Roman" w:cs="Times New Roman"/>
          <w:lang w:eastAsia="en-GB"/>
        </w:rPr>
        <w:lastRenderedPageBreak/>
        <w:t xml:space="preserve">In </w:t>
      </w:r>
      <w:proofErr w:type="spellStart"/>
      <w:r w:rsidRPr="005B6C51">
        <w:rPr>
          <w:rFonts w:ascii="Times New Roman" w:eastAsia="Times New Roman" w:hAnsi="Times New Roman" w:cs="Times New Roman"/>
          <w:b/>
          <w:bCs/>
          <w:i/>
          <w:iCs/>
          <w:lang w:eastAsia="en-GB"/>
        </w:rPr>
        <w:t>Handzhiyski</w:t>
      </w:r>
      <w:proofErr w:type="spellEnd"/>
      <w:r w:rsidRPr="005B6C51">
        <w:rPr>
          <w:rFonts w:ascii="Times New Roman" w:eastAsia="Times New Roman" w:hAnsi="Times New Roman" w:cs="Times New Roman"/>
          <w:b/>
          <w:bCs/>
          <w:i/>
          <w:iCs/>
          <w:lang w:eastAsia="en-GB"/>
        </w:rPr>
        <w:t xml:space="preserve"> v</w:t>
      </w:r>
      <w:r w:rsidR="005B6C51" w:rsidRPr="005B6C51">
        <w:rPr>
          <w:rFonts w:ascii="Times New Roman" w:eastAsia="Times New Roman" w:hAnsi="Times New Roman" w:cs="Times New Roman"/>
          <w:b/>
          <w:bCs/>
          <w:i/>
          <w:iCs/>
          <w:lang w:eastAsia="en-GB"/>
        </w:rPr>
        <w:t>.</w:t>
      </w:r>
      <w:r w:rsidRPr="005B6C51">
        <w:rPr>
          <w:rFonts w:ascii="Times New Roman" w:eastAsia="Times New Roman" w:hAnsi="Times New Roman" w:cs="Times New Roman"/>
          <w:b/>
          <w:bCs/>
          <w:i/>
          <w:iCs/>
          <w:lang w:eastAsia="en-GB"/>
        </w:rPr>
        <w:t xml:space="preserve"> Bulgaria</w:t>
      </w:r>
      <w:r w:rsidRPr="005B6C51">
        <w:rPr>
          <w:rFonts w:ascii="Times New Roman" w:eastAsia="Times New Roman" w:hAnsi="Times New Roman" w:cs="Times New Roman"/>
          <w:lang w:eastAsia="en-GB"/>
        </w:rPr>
        <w:t xml:space="preserve">, </w:t>
      </w:r>
      <w:r w:rsidR="00A91170" w:rsidRPr="005B6C51">
        <w:rPr>
          <w:rFonts w:ascii="Times New Roman" w:eastAsia="Times New Roman" w:hAnsi="Times New Roman" w:cs="Times New Roman"/>
          <w:lang w:eastAsia="en-GB"/>
        </w:rPr>
        <w:t xml:space="preserve">cited above, </w:t>
      </w:r>
      <w:r w:rsidRPr="005B6C51">
        <w:rPr>
          <w:rFonts w:ascii="Times New Roman" w:eastAsia="Times New Roman" w:hAnsi="Times New Roman" w:cs="Times New Roman"/>
          <w:lang w:eastAsia="en-GB"/>
        </w:rPr>
        <w:t xml:space="preserve">the </w:t>
      </w:r>
      <w:r w:rsidR="00A91170" w:rsidRPr="005B6C51">
        <w:rPr>
          <w:rFonts w:ascii="Times New Roman" w:eastAsia="Times New Roman" w:hAnsi="Times New Roman" w:cs="Times New Roman"/>
          <w:lang w:eastAsia="en-GB"/>
        </w:rPr>
        <w:t>E</w:t>
      </w:r>
      <w:r w:rsidRPr="005B6C51">
        <w:rPr>
          <w:rFonts w:ascii="Times New Roman" w:eastAsia="Times New Roman" w:hAnsi="Times New Roman" w:cs="Times New Roman"/>
          <w:lang w:eastAsia="en-GB"/>
        </w:rPr>
        <w:t>Ct</w:t>
      </w:r>
      <w:r w:rsidR="00A91170" w:rsidRPr="005B6C51">
        <w:rPr>
          <w:rFonts w:ascii="Times New Roman" w:eastAsia="Times New Roman" w:hAnsi="Times New Roman" w:cs="Times New Roman"/>
          <w:lang w:eastAsia="en-GB"/>
        </w:rPr>
        <w:t>HR</w:t>
      </w:r>
      <w:r w:rsidRPr="005B6C51">
        <w:rPr>
          <w:rFonts w:ascii="Times New Roman" w:eastAsia="Times New Roman" w:hAnsi="Times New Roman" w:cs="Times New Roman"/>
          <w:lang w:eastAsia="en-GB"/>
        </w:rPr>
        <w:t xml:space="preserve"> found </w:t>
      </w:r>
      <w:r w:rsidR="00A91170" w:rsidRPr="005B6C51">
        <w:rPr>
          <w:rFonts w:ascii="Times New Roman" w:eastAsia="Times New Roman" w:hAnsi="Times New Roman" w:cs="Times New Roman"/>
          <w:lang w:eastAsia="en-GB"/>
        </w:rPr>
        <w:t xml:space="preserve">that </w:t>
      </w:r>
      <w:r w:rsidRPr="005B6C51">
        <w:rPr>
          <w:rFonts w:ascii="Times New Roman" w:eastAsia="Times New Roman" w:hAnsi="Times New Roman" w:cs="Times New Roman"/>
          <w:lang w:eastAsia="en-GB"/>
        </w:rPr>
        <w:t>a conviction and fine for placing Santa Claus accessories on a communist leader’s statue (characterised as “</w:t>
      </w:r>
      <w:r w:rsidRPr="005B6C51">
        <w:rPr>
          <w:rFonts w:ascii="Times New Roman" w:eastAsia="Times New Roman" w:hAnsi="Times New Roman" w:cs="Times New Roman"/>
          <w:i/>
          <w:iCs/>
          <w:lang w:eastAsia="en-GB"/>
        </w:rPr>
        <w:t>minor hooliganism</w:t>
      </w:r>
      <w:r w:rsidRPr="005B6C51">
        <w:rPr>
          <w:rFonts w:ascii="Times New Roman" w:eastAsia="Times New Roman" w:hAnsi="Times New Roman" w:cs="Times New Roman"/>
          <w:lang w:eastAsia="en-GB"/>
        </w:rPr>
        <w:t xml:space="preserve">”) </w:t>
      </w:r>
      <w:r w:rsidR="00A91170" w:rsidRPr="005B6C51">
        <w:rPr>
          <w:rFonts w:ascii="Times New Roman" w:eastAsia="Times New Roman" w:hAnsi="Times New Roman" w:cs="Times New Roman"/>
          <w:lang w:eastAsia="en-GB"/>
        </w:rPr>
        <w:t xml:space="preserve">was </w:t>
      </w:r>
      <w:r w:rsidRPr="005B6C51">
        <w:rPr>
          <w:rFonts w:ascii="Times New Roman" w:eastAsia="Times New Roman" w:hAnsi="Times New Roman" w:cs="Times New Roman"/>
          <w:lang w:eastAsia="en-GB"/>
        </w:rPr>
        <w:t>a violation of Article 10. The Court held</w:t>
      </w:r>
      <w:r w:rsidR="00A31E6C" w:rsidRPr="005B6C51">
        <w:rPr>
          <w:rFonts w:ascii="Times New Roman" w:eastAsia="Times New Roman" w:hAnsi="Times New Roman" w:cs="Times New Roman"/>
          <w:lang w:eastAsia="en-GB"/>
        </w:rPr>
        <w:t xml:space="preserve">, at </w:t>
      </w:r>
      <w:r w:rsidR="00A31E6C" w:rsidRPr="005B6C51">
        <w:rPr>
          <w:rFonts w:ascii="Times New Roman" w:hAnsi="Times New Roman" w:cs="Times New Roman"/>
        </w:rPr>
        <w:t>§52,</w:t>
      </w:r>
      <w:r w:rsidR="00A31E6C">
        <w:t xml:space="preserve"> </w:t>
      </w:r>
      <w:r w:rsidRPr="005B6C51">
        <w:rPr>
          <w:rFonts w:ascii="Times New Roman" w:eastAsia="Times New Roman" w:hAnsi="Times New Roman" w:cs="Times New Roman"/>
          <w:lang w:eastAsia="en-GB"/>
        </w:rPr>
        <w:t xml:space="preserve">that </w:t>
      </w:r>
      <w:r w:rsidRPr="005B6C51">
        <w:rPr>
          <w:rFonts w:ascii="Times New Roman" w:eastAsia="Times New Roman" w:hAnsi="Times New Roman" w:cs="Times New Roman"/>
          <w:i/>
          <w:iCs/>
          <w:lang w:eastAsia="en-GB"/>
        </w:rPr>
        <w:t>“[w]hen an interference with the right to freedom of expression takes the form of a “penalty”, it inevitably calls for a detailed assessment of the specific conduct sought to be punished. It cannot normally be justified solely because the expression at issue was caught by a legal rule formulated in general terms</w:t>
      </w:r>
      <w:r w:rsidRPr="005B6C51">
        <w:rPr>
          <w:rFonts w:ascii="Times New Roman" w:eastAsia="Times New Roman" w:hAnsi="Times New Roman" w:cs="Times New Roman"/>
          <w:lang w:eastAsia="en-GB"/>
        </w:rPr>
        <w:t>”.</w:t>
      </w:r>
      <w:r w:rsidR="00A31E6C" w:rsidRPr="005B6C51">
        <w:rPr>
          <w:rFonts w:ascii="Times New Roman" w:eastAsia="Times New Roman" w:hAnsi="Times New Roman" w:cs="Times New Roman"/>
          <w:lang w:eastAsia="en-GB"/>
        </w:rPr>
        <w:t xml:space="preserve"> </w:t>
      </w:r>
      <w:r w:rsidRPr="005B6C51">
        <w:rPr>
          <w:rFonts w:ascii="Times New Roman" w:eastAsia="Times New Roman" w:hAnsi="Times New Roman" w:cs="Times New Roman"/>
          <w:lang w:eastAsia="en-GB"/>
        </w:rPr>
        <w:t>It was noted that in relation to acts which “</w:t>
      </w:r>
      <w:r w:rsidRPr="005B6C51">
        <w:rPr>
          <w:rFonts w:ascii="Times New Roman" w:eastAsia="Times New Roman" w:hAnsi="Times New Roman" w:cs="Times New Roman"/>
          <w:i/>
          <w:iCs/>
          <w:lang w:eastAsia="en-GB"/>
        </w:rPr>
        <w:t>though capable of profaning a monument, do not damage it … the precise nature of the act, the intention behind it, and the message sought to be conveyed</w:t>
      </w:r>
      <w:r w:rsidRPr="005B6C51">
        <w:rPr>
          <w:rFonts w:ascii="Times New Roman" w:eastAsia="Times New Roman" w:hAnsi="Times New Roman" w:cs="Times New Roman"/>
          <w:lang w:eastAsia="en-GB"/>
        </w:rPr>
        <w:t>” are significant</w:t>
      </w:r>
      <w:r w:rsidR="004F1D7A" w:rsidRPr="004F1D7A">
        <w:t xml:space="preserve"> </w:t>
      </w:r>
      <w:r w:rsidR="004F1D7A">
        <w:t>(</w:t>
      </w:r>
      <w:r w:rsidR="004F1D7A" w:rsidRPr="005B6C51">
        <w:rPr>
          <w:rFonts w:ascii="Times New Roman" w:eastAsia="Times New Roman" w:hAnsi="Times New Roman" w:cs="Times New Roman"/>
          <w:lang w:eastAsia="en-GB"/>
        </w:rPr>
        <w:t>at §55)</w:t>
      </w:r>
      <w:r w:rsidRPr="005B6C51">
        <w:rPr>
          <w:rFonts w:ascii="Times New Roman" w:eastAsia="Times New Roman" w:hAnsi="Times New Roman" w:cs="Times New Roman"/>
          <w:lang w:eastAsia="en-GB"/>
        </w:rPr>
        <w:t>.</w:t>
      </w:r>
      <w:r w:rsidR="005B6C51" w:rsidRPr="005B6C51">
        <w:rPr>
          <w:rFonts w:ascii="Times New Roman" w:hAnsi="Times New Roman" w:cs="Times New Roman"/>
        </w:rPr>
        <w:t xml:space="preserve"> See also </w:t>
      </w:r>
      <w:proofErr w:type="spellStart"/>
      <w:r w:rsidR="005B6C51" w:rsidRPr="005B6C51">
        <w:rPr>
          <w:rFonts w:ascii="Times New Roman" w:hAnsi="Times New Roman" w:cs="Times New Roman"/>
          <w:i/>
          <w:iCs/>
        </w:rPr>
        <w:t>Bumbeș</w:t>
      </w:r>
      <w:proofErr w:type="spellEnd"/>
      <w:r w:rsidR="005B6C51" w:rsidRPr="005B6C51">
        <w:rPr>
          <w:rFonts w:ascii="Times New Roman" w:hAnsi="Times New Roman" w:cs="Times New Roman"/>
          <w:i/>
          <w:iCs/>
        </w:rPr>
        <w:t xml:space="preserve"> v Romania</w:t>
      </w:r>
      <w:r w:rsidR="005B6C51">
        <w:rPr>
          <w:rFonts w:ascii="Times New Roman" w:hAnsi="Times New Roman" w:cs="Times New Roman"/>
        </w:rPr>
        <w:t xml:space="preserve">, </w:t>
      </w:r>
      <w:r w:rsidR="005B6C51" w:rsidRPr="005B6C51">
        <w:rPr>
          <w:rFonts w:ascii="Times New Roman" w:hAnsi="Times New Roman" w:cs="Times New Roman"/>
        </w:rPr>
        <w:t>App no. 18079/15, 3 May 2022.</w:t>
      </w:r>
    </w:p>
    <w:p w14:paraId="50042D5C" w14:textId="77777777" w:rsidR="00A91170" w:rsidRPr="00A91170" w:rsidRDefault="00A91170" w:rsidP="00824073">
      <w:pPr>
        <w:pStyle w:val="ListParagraph"/>
        <w:spacing w:line="360" w:lineRule="auto"/>
        <w:jc w:val="both"/>
        <w:rPr>
          <w:rFonts w:ascii="Times New Roman" w:eastAsia="Times New Roman" w:hAnsi="Times New Roman" w:cs="Times New Roman"/>
          <w:i/>
          <w:iCs/>
          <w:color w:val="212121"/>
          <w:lang w:eastAsia="en-GB"/>
        </w:rPr>
      </w:pPr>
    </w:p>
    <w:p w14:paraId="38316AA3" w14:textId="461C2C45" w:rsidR="008C25EF" w:rsidRPr="008C25EF" w:rsidRDefault="00534BFC"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In </w:t>
      </w:r>
      <w:proofErr w:type="spellStart"/>
      <w:r w:rsidRPr="008C25EF">
        <w:rPr>
          <w:rFonts w:ascii="Times New Roman" w:eastAsia="Times New Roman" w:hAnsi="Times New Roman" w:cs="Times New Roman"/>
          <w:b/>
          <w:bCs/>
          <w:i/>
          <w:iCs/>
          <w:lang w:val="en-GB" w:eastAsia="en-GB"/>
        </w:rPr>
        <w:t>Baldassi</w:t>
      </w:r>
      <w:proofErr w:type="spellEnd"/>
      <w:r w:rsidRPr="008C25EF">
        <w:rPr>
          <w:rFonts w:ascii="Times New Roman" w:eastAsia="Times New Roman" w:hAnsi="Times New Roman" w:cs="Times New Roman"/>
          <w:b/>
          <w:bCs/>
          <w:i/>
          <w:iCs/>
          <w:lang w:val="en-GB" w:eastAsia="en-GB"/>
        </w:rPr>
        <w:t xml:space="preserve"> and others v</w:t>
      </w:r>
      <w:r w:rsidR="008C25EF">
        <w:rPr>
          <w:rFonts w:ascii="Times New Roman" w:eastAsia="Times New Roman" w:hAnsi="Times New Roman" w:cs="Times New Roman"/>
          <w:b/>
          <w:bCs/>
          <w:i/>
          <w:iCs/>
          <w:lang w:val="en-GB" w:eastAsia="en-GB"/>
        </w:rPr>
        <w:t>.</w:t>
      </w:r>
      <w:r w:rsidRPr="008C25EF">
        <w:rPr>
          <w:rFonts w:ascii="Times New Roman" w:eastAsia="Times New Roman" w:hAnsi="Times New Roman" w:cs="Times New Roman"/>
          <w:b/>
          <w:bCs/>
          <w:i/>
          <w:iCs/>
          <w:lang w:val="en-GB" w:eastAsia="en-GB"/>
        </w:rPr>
        <w:t xml:space="preserve"> France</w:t>
      </w:r>
      <w:r w:rsidRPr="008C25EF">
        <w:rPr>
          <w:rFonts w:ascii="Times New Roman" w:eastAsia="Times New Roman" w:hAnsi="Times New Roman" w:cs="Times New Roman"/>
          <w:b/>
          <w:bCs/>
          <w:lang w:val="en-GB" w:eastAsia="en-GB"/>
        </w:rPr>
        <w:t xml:space="preserve"> </w:t>
      </w:r>
      <w:r w:rsidRPr="008C25EF">
        <w:rPr>
          <w:rFonts w:ascii="Times New Roman" w:eastAsia="Times New Roman" w:hAnsi="Times New Roman" w:cs="Times New Roman"/>
          <w:lang w:val="en-GB" w:eastAsia="en-GB"/>
        </w:rPr>
        <w:t>(Application no. 15271/16 and 6 others</w:t>
      </w:r>
      <w:r w:rsidR="00234736">
        <w:rPr>
          <w:rFonts w:ascii="Times New Roman" w:eastAsia="Times New Roman" w:hAnsi="Times New Roman" w:cs="Times New Roman"/>
          <w:lang w:val="en-GB" w:eastAsia="en-GB"/>
        </w:rPr>
        <w:t>,</w:t>
      </w:r>
      <w:r w:rsidRPr="008C25EF">
        <w:rPr>
          <w:rFonts w:ascii="Times New Roman" w:eastAsia="Times New Roman" w:hAnsi="Times New Roman" w:cs="Times New Roman"/>
          <w:lang w:val="en-GB" w:eastAsia="en-GB"/>
        </w:rPr>
        <w:t xml:space="preserve"> 11 June 2020), the applicant activists had been involved in calling for a boycott of Israeli products as part of the BDS campaign (by displaying items in a supermarket). They were convicted of incitement of discrimination. It was not disputed that this constituted an interference with the applicants’ Article 10 rights. The Court found that the interference was prescribed by law, and its aim was to protect the rights of others. However, it was not necessary to achieve that aim and </w:t>
      </w:r>
      <w:r w:rsidR="009A291E">
        <w:rPr>
          <w:rFonts w:ascii="Times New Roman" w:eastAsia="Times New Roman" w:hAnsi="Times New Roman" w:cs="Times New Roman"/>
          <w:lang w:val="en-GB" w:eastAsia="en-GB"/>
        </w:rPr>
        <w:t xml:space="preserve">was </w:t>
      </w:r>
      <w:r w:rsidRPr="008C25EF">
        <w:rPr>
          <w:rFonts w:ascii="Times New Roman" w:eastAsia="Times New Roman" w:hAnsi="Times New Roman" w:cs="Times New Roman"/>
          <w:lang w:val="en-GB" w:eastAsia="en-GB"/>
        </w:rPr>
        <w:t xml:space="preserve">thus disproportionate. </w:t>
      </w:r>
      <w:r w:rsidR="009A291E">
        <w:rPr>
          <w:rFonts w:ascii="Times New Roman" w:eastAsia="Times New Roman" w:hAnsi="Times New Roman" w:cs="Times New Roman"/>
          <w:lang w:val="en-GB" w:eastAsia="en-GB"/>
        </w:rPr>
        <w:t>T</w:t>
      </w:r>
      <w:r w:rsidRPr="008C25EF">
        <w:rPr>
          <w:rFonts w:ascii="Times New Roman" w:eastAsia="Times New Roman" w:hAnsi="Times New Roman" w:cs="Times New Roman"/>
          <w:lang w:val="en-GB" w:eastAsia="en-GB"/>
        </w:rPr>
        <w:t>here was no violence or damage</w:t>
      </w:r>
      <w:r w:rsidR="002853E9">
        <w:rPr>
          <w:rFonts w:ascii="Times New Roman" w:eastAsia="Times New Roman" w:hAnsi="Times New Roman" w:cs="Times New Roman"/>
          <w:lang w:val="en-GB" w:eastAsia="en-GB"/>
        </w:rPr>
        <w:t>,</w:t>
      </w:r>
      <w:r w:rsidRPr="008C25EF">
        <w:rPr>
          <w:rFonts w:ascii="Times New Roman" w:eastAsia="Times New Roman" w:hAnsi="Times New Roman" w:cs="Times New Roman"/>
          <w:lang w:val="en-GB" w:eastAsia="en-GB"/>
        </w:rPr>
        <w:t xml:space="preserve"> and </w:t>
      </w:r>
      <w:r w:rsidR="009A291E">
        <w:rPr>
          <w:rFonts w:ascii="Times New Roman" w:eastAsia="Times New Roman" w:hAnsi="Times New Roman" w:cs="Times New Roman"/>
          <w:lang w:val="en-GB" w:eastAsia="en-GB"/>
        </w:rPr>
        <w:t>the ECtHR observed th</w:t>
      </w:r>
      <w:r w:rsidRPr="008C25EF">
        <w:rPr>
          <w:rFonts w:ascii="Times New Roman" w:eastAsia="Times New Roman" w:hAnsi="Times New Roman" w:cs="Times New Roman"/>
          <w:lang w:val="en-GB" w:eastAsia="en-GB"/>
        </w:rPr>
        <w:t>at the domestic court did not establish that the conviction was necessary, noting</w:t>
      </w:r>
      <w:r w:rsidR="00737762">
        <w:rPr>
          <w:rFonts w:ascii="Times New Roman" w:eastAsia="Times New Roman" w:hAnsi="Times New Roman" w:cs="Times New Roman"/>
          <w:lang w:val="en-GB" w:eastAsia="en-GB"/>
        </w:rPr>
        <w:t xml:space="preserve"> (at §</w:t>
      </w:r>
      <w:r w:rsidR="00234736">
        <w:rPr>
          <w:rFonts w:ascii="Times New Roman" w:eastAsia="Times New Roman" w:hAnsi="Times New Roman" w:cs="Times New Roman"/>
          <w:lang w:val="en-GB" w:eastAsia="en-GB"/>
        </w:rPr>
        <w:t>§</w:t>
      </w:r>
      <w:r w:rsidR="00737762">
        <w:rPr>
          <w:rFonts w:ascii="Times New Roman" w:eastAsia="Times New Roman" w:hAnsi="Times New Roman" w:cs="Times New Roman"/>
          <w:lang w:val="en-GB" w:eastAsia="en-GB"/>
        </w:rPr>
        <w:t>78-80)</w:t>
      </w:r>
      <w:r w:rsidRPr="008C25EF">
        <w:rPr>
          <w:rFonts w:ascii="Times New Roman" w:eastAsia="Times New Roman" w:hAnsi="Times New Roman" w:cs="Times New Roman"/>
          <w:lang w:val="en-GB" w:eastAsia="en-GB"/>
        </w:rPr>
        <w:t>:</w:t>
      </w:r>
    </w:p>
    <w:p w14:paraId="20999280" w14:textId="77777777" w:rsidR="002853E9" w:rsidRDefault="002853E9" w:rsidP="00824073">
      <w:pPr>
        <w:pStyle w:val="ListParagraph"/>
        <w:spacing w:line="360" w:lineRule="auto"/>
        <w:jc w:val="both"/>
        <w:rPr>
          <w:rFonts w:ascii="Times New Roman" w:eastAsia="Times New Roman" w:hAnsi="Times New Roman" w:cs="Times New Roman"/>
          <w:i/>
          <w:iCs/>
          <w:lang w:val="en-GB" w:eastAsia="en-GB"/>
        </w:rPr>
      </w:pPr>
    </w:p>
    <w:p w14:paraId="1FCE5AD0" w14:textId="39C8B5FD" w:rsidR="008C25EF" w:rsidRDefault="00534BFC" w:rsidP="00824073">
      <w:pPr>
        <w:pStyle w:val="ListParagraph"/>
        <w:spacing w:line="360" w:lineRule="auto"/>
        <w:jc w:val="both"/>
        <w:rPr>
          <w:rFonts w:ascii="Times New Roman" w:eastAsia="Times New Roman" w:hAnsi="Times New Roman" w:cs="Times New Roman"/>
          <w:i/>
          <w:iCs/>
          <w:lang w:val="en-GB" w:eastAsia="en-GB"/>
        </w:rPr>
      </w:pPr>
      <w:r w:rsidRPr="008C25EF">
        <w:rPr>
          <w:rFonts w:ascii="Times New Roman" w:eastAsia="Times New Roman" w:hAnsi="Times New Roman" w:cs="Times New Roman"/>
          <w:i/>
          <w:iCs/>
          <w:lang w:val="en-GB" w:eastAsia="en-GB"/>
        </w:rPr>
        <w:t xml:space="preserve">“78. </w:t>
      </w:r>
      <w:r w:rsidRPr="008C25EF">
        <w:rPr>
          <w:rFonts w:ascii="Times New Roman" w:eastAsia="Times New Roman" w:hAnsi="Times New Roman" w:cs="Times New Roman"/>
          <w:i/>
          <w:iCs/>
          <w:u w:val="single"/>
          <w:lang w:val="en-GB" w:eastAsia="en-GB"/>
        </w:rPr>
        <w:t xml:space="preserve">The need for detailed reasoning was, however, </w:t>
      </w:r>
      <w:proofErr w:type="gramStart"/>
      <w:r w:rsidRPr="008C25EF">
        <w:rPr>
          <w:rFonts w:ascii="Times New Roman" w:eastAsia="Times New Roman" w:hAnsi="Times New Roman" w:cs="Times New Roman"/>
          <w:i/>
          <w:iCs/>
          <w:u w:val="single"/>
          <w:lang w:val="en-GB" w:eastAsia="en-GB"/>
        </w:rPr>
        <w:t>all the more</w:t>
      </w:r>
      <w:proofErr w:type="gramEnd"/>
      <w:r w:rsidRPr="008C25EF">
        <w:rPr>
          <w:rFonts w:ascii="Times New Roman" w:eastAsia="Times New Roman" w:hAnsi="Times New Roman" w:cs="Times New Roman"/>
          <w:i/>
          <w:iCs/>
          <w:u w:val="single"/>
          <w:lang w:val="en-GB" w:eastAsia="en-GB"/>
        </w:rPr>
        <w:t xml:space="preserve"> essential in the present case because it involved a situation in which Article 10 of the Convention required a high level of protection of the right to freedom of expression</w:t>
      </w:r>
      <w:r w:rsidRPr="008C25EF">
        <w:rPr>
          <w:rFonts w:ascii="Times New Roman" w:eastAsia="Times New Roman" w:hAnsi="Times New Roman" w:cs="Times New Roman"/>
          <w:i/>
          <w:iCs/>
          <w:lang w:val="en-GB" w:eastAsia="en-GB"/>
        </w:rPr>
        <w:t xml:space="preserve">. On the one hand, the actions and remarks complained of concerned a subject of general interest, namely the State of Israel’s compliance with public international law and the human rights situation in the occupied Palestinian </w:t>
      </w:r>
      <w:proofErr w:type="gramStart"/>
      <w:r w:rsidRPr="008C25EF">
        <w:rPr>
          <w:rFonts w:ascii="Times New Roman" w:eastAsia="Times New Roman" w:hAnsi="Times New Roman" w:cs="Times New Roman"/>
          <w:i/>
          <w:iCs/>
          <w:lang w:val="en-GB" w:eastAsia="en-GB"/>
        </w:rPr>
        <w:t>territories, and</w:t>
      </w:r>
      <w:proofErr w:type="gramEnd"/>
      <w:r w:rsidRPr="008C25EF">
        <w:rPr>
          <w:rFonts w:ascii="Times New Roman" w:eastAsia="Times New Roman" w:hAnsi="Times New Roman" w:cs="Times New Roman"/>
          <w:i/>
          <w:iCs/>
          <w:lang w:val="en-GB" w:eastAsia="en-GB"/>
        </w:rPr>
        <w:t xml:space="preserve"> were part of a contemporary debate which was ongoing in France and throughout the international community. On the other hand, these actions and statements were a form of political and “militant” expression (see, for example, </w:t>
      </w:r>
      <w:proofErr w:type="spellStart"/>
      <w:r w:rsidRPr="002853E9">
        <w:rPr>
          <w:rFonts w:ascii="Times New Roman" w:eastAsia="Times New Roman" w:hAnsi="Times New Roman" w:cs="Times New Roman"/>
          <w:lang w:val="en-GB" w:eastAsia="en-GB"/>
        </w:rPr>
        <w:t>Mamère</w:t>
      </w:r>
      <w:proofErr w:type="spellEnd"/>
      <w:r w:rsidRPr="002853E9">
        <w:rPr>
          <w:rFonts w:ascii="Times New Roman" w:eastAsia="Times New Roman" w:hAnsi="Times New Roman" w:cs="Times New Roman"/>
          <w:lang w:val="en-GB" w:eastAsia="en-GB"/>
        </w:rPr>
        <w:t xml:space="preserve"> v. France</w:t>
      </w:r>
      <w:r w:rsidRPr="008C25EF">
        <w:rPr>
          <w:rFonts w:ascii="Times New Roman" w:eastAsia="Times New Roman" w:hAnsi="Times New Roman" w:cs="Times New Roman"/>
          <w:i/>
          <w:iCs/>
          <w:lang w:val="en-GB" w:eastAsia="en-GB"/>
        </w:rPr>
        <w:t xml:space="preserve">, no. 12697/03, § 20, ECHR 2006-XIII). The Court has repeatedly emphasised that there is little scope under Article 10§2 of the Convention for restrictions on political expression or on debate on questions of public interest (see </w:t>
      </w:r>
      <w:proofErr w:type="spellStart"/>
      <w:r w:rsidRPr="002853E9">
        <w:rPr>
          <w:rFonts w:ascii="Times New Roman" w:eastAsia="Times New Roman" w:hAnsi="Times New Roman" w:cs="Times New Roman"/>
          <w:lang w:val="en-GB" w:eastAsia="en-GB"/>
        </w:rPr>
        <w:t>Perinçek</w:t>
      </w:r>
      <w:proofErr w:type="spellEnd"/>
      <w:r w:rsidRPr="008C25EF">
        <w:rPr>
          <w:rFonts w:ascii="Times New Roman" w:eastAsia="Times New Roman" w:hAnsi="Times New Roman" w:cs="Times New Roman"/>
          <w:i/>
          <w:iCs/>
          <w:lang w:val="en-GB" w:eastAsia="en-GB"/>
        </w:rPr>
        <w:t>, cited above, §197, and the references therein).</w:t>
      </w:r>
    </w:p>
    <w:p w14:paraId="70649C6F" w14:textId="41DB2B68" w:rsidR="008C25EF" w:rsidRDefault="00534BFC" w:rsidP="00824073">
      <w:pPr>
        <w:pStyle w:val="ListParagraph"/>
        <w:spacing w:line="360" w:lineRule="auto"/>
        <w:jc w:val="both"/>
        <w:rPr>
          <w:rFonts w:ascii="Times New Roman" w:eastAsia="Times New Roman" w:hAnsi="Times New Roman" w:cs="Times New Roman"/>
          <w:i/>
          <w:iCs/>
          <w:lang w:val="en-GB" w:eastAsia="en-GB"/>
        </w:rPr>
      </w:pPr>
      <w:r w:rsidRPr="008C25EF">
        <w:rPr>
          <w:rFonts w:ascii="Times New Roman" w:eastAsia="Times New Roman" w:hAnsi="Times New Roman" w:cs="Times New Roman"/>
          <w:i/>
          <w:iCs/>
          <w:lang w:val="en-GB" w:eastAsia="en-GB"/>
        </w:rPr>
        <w:lastRenderedPageBreak/>
        <w:t xml:space="preserve">79.  As the Court pointed out in </w:t>
      </w:r>
      <w:proofErr w:type="spellStart"/>
      <w:r w:rsidRPr="002853E9">
        <w:rPr>
          <w:rFonts w:ascii="Times New Roman" w:eastAsia="Times New Roman" w:hAnsi="Times New Roman" w:cs="Times New Roman"/>
          <w:lang w:val="en-GB" w:eastAsia="en-GB"/>
        </w:rPr>
        <w:t>Perinçek</w:t>
      </w:r>
      <w:proofErr w:type="spellEnd"/>
      <w:r w:rsidRPr="008C25EF">
        <w:rPr>
          <w:rFonts w:ascii="Times New Roman" w:eastAsia="Times New Roman" w:hAnsi="Times New Roman" w:cs="Times New Roman"/>
          <w:i/>
          <w:iCs/>
          <w:lang w:val="en-GB" w:eastAsia="en-GB"/>
        </w:rPr>
        <w:t xml:space="preserve"> (ibid., §231), it is </w:t>
      </w:r>
      <w:proofErr w:type="gramStart"/>
      <w:r w:rsidRPr="008C25EF">
        <w:rPr>
          <w:rFonts w:ascii="Times New Roman" w:eastAsia="Times New Roman" w:hAnsi="Times New Roman" w:cs="Times New Roman"/>
          <w:i/>
          <w:iCs/>
          <w:lang w:val="en-GB" w:eastAsia="en-GB"/>
        </w:rPr>
        <w:t>in the nature of political</w:t>
      </w:r>
      <w:proofErr w:type="gramEnd"/>
      <w:r w:rsidRPr="008C25EF">
        <w:rPr>
          <w:rFonts w:ascii="Times New Roman" w:eastAsia="Times New Roman" w:hAnsi="Times New Roman" w:cs="Times New Roman"/>
          <w:i/>
          <w:iCs/>
          <w:lang w:val="en-GB" w:eastAsia="en-GB"/>
        </w:rPr>
        <w:t xml:space="preserve"> speech to be controversial and often virulent</w:t>
      </w:r>
      <w:r w:rsidR="00234736">
        <w:rPr>
          <w:rFonts w:ascii="Times New Roman" w:eastAsia="Times New Roman" w:hAnsi="Times New Roman" w:cs="Times New Roman"/>
          <w:i/>
          <w:iCs/>
          <w:lang w:val="en-GB" w:eastAsia="en-GB"/>
        </w:rPr>
        <w:t>.</w:t>
      </w:r>
      <w:r w:rsidRPr="008C25EF">
        <w:rPr>
          <w:rFonts w:ascii="Times New Roman" w:eastAsia="Times New Roman" w:hAnsi="Times New Roman" w:cs="Times New Roman"/>
          <w:i/>
          <w:iCs/>
          <w:lang w:val="en-GB" w:eastAsia="en-GB"/>
        </w:rPr>
        <w:t xml:space="preserve"> That does not diminish its public interest, provided of course that it does not cross the line and turn into a call for violence, hatred or intolerance. That is also true of a call for a boycott, as observed by the Special Rapporteur on freedom of religion or belief in his report to the members of the United Nations General Assembly dated 20 September 2019 (paragraph 21 above), and by the Fédération </w:t>
      </w:r>
      <w:proofErr w:type="spellStart"/>
      <w:r w:rsidRPr="008C25EF">
        <w:rPr>
          <w:rFonts w:ascii="Times New Roman" w:eastAsia="Times New Roman" w:hAnsi="Times New Roman" w:cs="Times New Roman"/>
          <w:i/>
          <w:iCs/>
          <w:lang w:val="en-GB" w:eastAsia="en-GB"/>
        </w:rPr>
        <w:t>internationale</w:t>
      </w:r>
      <w:proofErr w:type="spellEnd"/>
      <w:r w:rsidRPr="008C25EF">
        <w:rPr>
          <w:rFonts w:ascii="Times New Roman" w:eastAsia="Times New Roman" w:hAnsi="Times New Roman" w:cs="Times New Roman"/>
          <w:i/>
          <w:iCs/>
          <w:lang w:val="en-GB" w:eastAsia="en-GB"/>
        </w:rPr>
        <w:t xml:space="preserve"> des </w:t>
      </w:r>
      <w:proofErr w:type="spellStart"/>
      <w:r w:rsidRPr="008C25EF">
        <w:rPr>
          <w:rFonts w:ascii="Times New Roman" w:eastAsia="Times New Roman" w:hAnsi="Times New Roman" w:cs="Times New Roman"/>
          <w:i/>
          <w:iCs/>
          <w:lang w:val="en-GB" w:eastAsia="en-GB"/>
        </w:rPr>
        <w:t>ligues</w:t>
      </w:r>
      <w:proofErr w:type="spellEnd"/>
      <w:r w:rsidRPr="008C25EF">
        <w:rPr>
          <w:rFonts w:ascii="Times New Roman" w:eastAsia="Times New Roman" w:hAnsi="Times New Roman" w:cs="Times New Roman"/>
          <w:i/>
          <w:iCs/>
          <w:lang w:val="en-GB" w:eastAsia="en-GB"/>
        </w:rPr>
        <w:t xml:space="preserve"> des droits de </w:t>
      </w:r>
      <w:proofErr w:type="spellStart"/>
      <w:r w:rsidRPr="008C25EF">
        <w:rPr>
          <w:rFonts w:ascii="Times New Roman" w:eastAsia="Times New Roman" w:hAnsi="Times New Roman" w:cs="Times New Roman"/>
          <w:i/>
          <w:iCs/>
          <w:lang w:val="en-GB" w:eastAsia="en-GB"/>
        </w:rPr>
        <w:t>l’homme</w:t>
      </w:r>
      <w:proofErr w:type="spellEnd"/>
      <w:r w:rsidRPr="008C25EF">
        <w:rPr>
          <w:rFonts w:ascii="Times New Roman" w:eastAsia="Times New Roman" w:hAnsi="Times New Roman" w:cs="Times New Roman"/>
          <w:i/>
          <w:iCs/>
          <w:lang w:val="en-GB" w:eastAsia="en-GB"/>
        </w:rPr>
        <w:t xml:space="preserve"> together with the Ligue des droits de </w:t>
      </w:r>
      <w:proofErr w:type="spellStart"/>
      <w:r w:rsidRPr="008C25EF">
        <w:rPr>
          <w:rFonts w:ascii="Times New Roman" w:eastAsia="Times New Roman" w:hAnsi="Times New Roman" w:cs="Times New Roman"/>
          <w:i/>
          <w:iCs/>
          <w:lang w:val="en-GB" w:eastAsia="en-GB"/>
        </w:rPr>
        <w:t>l’homme</w:t>
      </w:r>
      <w:proofErr w:type="spellEnd"/>
      <w:r w:rsidRPr="008C25EF">
        <w:rPr>
          <w:rFonts w:ascii="Times New Roman" w:eastAsia="Times New Roman" w:hAnsi="Times New Roman" w:cs="Times New Roman"/>
          <w:i/>
          <w:iCs/>
          <w:lang w:val="en-GB" w:eastAsia="en-GB"/>
        </w:rPr>
        <w:t xml:space="preserve"> in the observations they submitted as third-party interveners in the present case (see paragraph 55 above).</w:t>
      </w:r>
    </w:p>
    <w:p w14:paraId="0326633A" w14:textId="6DFBDBC5" w:rsidR="008C25EF" w:rsidRDefault="00534BFC" w:rsidP="00824073">
      <w:pPr>
        <w:pStyle w:val="ListParagraph"/>
        <w:spacing w:line="360" w:lineRule="auto"/>
        <w:jc w:val="both"/>
        <w:rPr>
          <w:rFonts w:ascii="Times New Roman" w:eastAsia="Times New Roman" w:hAnsi="Times New Roman" w:cs="Times New Roman"/>
          <w:i/>
          <w:iCs/>
          <w:lang w:val="en-GB" w:eastAsia="en-GB"/>
        </w:rPr>
      </w:pPr>
      <w:r w:rsidRPr="008C25EF">
        <w:rPr>
          <w:rFonts w:ascii="Times New Roman" w:eastAsia="Times New Roman" w:hAnsi="Times New Roman" w:cs="Times New Roman"/>
          <w:i/>
          <w:iCs/>
          <w:lang w:val="en-GB" w:eastAsia="en-GB"/>
        </w:rPr>
        <w:t>80.  The Court concludes that the applicants’ conviction was not based on relevant and sufficient reasons. It is not persuaded that the domestic court applied rules which adhered to the principles enshrined in Article 10 or that it based its decision on an acceptable assessment of the facts.”</w:t>
      </w:r>
    </w:p>
    <w:p w14:paraId="1AA61112" w14:textId="77777777" w:rsidR="002853E9" w:rsidRPr="009A291E" w:rsidRDefault="002853E9" w:rsidP="009A291E">
      <w:pPr>
        <w:spacing w:line="360" w:lineRule="auto"/>
        <w:jc w:val="both"/>
        <w:rPr>
          <w:rFonts w:ascii="Times New Roman" w:eastAsia="Times New Roman" w:hAnsi="Times New Roman" w:cs="Times New Roman"/>
          <w:i/>
          <w:iCs/>
          <w:color w:val="212121"/>
          <w:lang w:eastAsia="en-GB"/>
        </w:rPr>
      </w:pPr>
    </w:p>
    <w:p w14:paraId="28D75CF8" w14:textId="3BFA08F6" w:rsidR="008C25EF" w:rsidRPr="008C25EF" w:rsidRDefault="00534BFC"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This case may be of </w:t>
      </w:r>
      <w:proofErr w:type="gramStart"/>
      <w:r w:rsidRPr="008C25EF">
        <w:rPr>
          <w:rFonts w:ascii="Times New Roman" w:eastAsia="Times New Roman" w:hAnsi="Times New Roman" w:cs="Times New Roman"/>
          <w:lang w:val="en-GB" w:eastAsia="en-GB"/>
        </w:rPr>
        <w:t>particular assistance</w:t>
      </w:r>
      <w:proofErr w:type="gramEnd"/>
      <w:r w:rsidRPr="008C25EF">
        <w:rPr>
          <w:rFonts w:ascii="Times New Roman" w:eastAsia="Times New Roman" w:hAnsi="Times New Roman" w:cs="Times New Roman"/>
          <w:lang w:val="en-GB" w:eastAsia="en-GB"/>
        </w:rPr>
        <w:t xml:space="preserve"> </w:t>
      </w:r>
      <w:r w:rsidR="008730BD">
        <w:rPr>
          <w:rFonts w:ascii="Times New Roman" w:eastAsia="Times New Roman" w:hAnsi="Times New Roman" w:cs="Times New Roman"/>
          <w:lang w:val="en-GB" w:eastAsia="en-GB"/>
        </w:rPr>
        <w:t xml:space="preserve">in the present Appeal, </w:t>
      </w:r>
      <w:r w:rsidRPr="008C25EF">
        <w:rPr>
          <w:rFonts w:ascii="Times New Roman" w:eastAsia="Times New Roman" w:hAnsi="Times New Roman" w:cs="Times New Roman"/>
          <w:lang w:val="en-GB" w:eastAsia="en-GB"/>
        </w:rPr>
        <w:t>given that the activities appeared to take place in a private premises, albeit one generally accessible by member</w:t>
      </w:r>
      <w:r w:rsidR="002853E9">
        <w:rPr>
          <w:rFonts w:ascii="Times New Roman" w:eastAsia="Times New Roman" w:hAnsi="Times New Roman" w:cs="Times New Roman"/>
          <w:lang w:val="en-GB" w:eastAsia="en-GB"/>
        </w:rPr>
        <w:t>s</w:t>
      </w:r>
      <w:r w:rsidRPr="008C25EF">
        <w:rPr>
          <w:rFonts w:ascii="Times New Roman" w:eastAsia="Times New Roman" w:hAnsi="Times New Roman" w:cs="Times New Roman"/>
          <w:lang w:val="en-GB" w:eastAsia="en-GB"/>
        </w:rPr>
        <w:t xml:space="preserve"> of the public (</w:t>
      </w:r>
      <w:r w:rsidR="002853E9">
        <w:rPr>
          <w:rFonts w:ascii="Times New Roman" w:eastAsia="Times New Roman" w:hAnsi="Times New Roman" w:cs="Times New Roman"/>
          <w:lang w:val="en-GB" w:eastAsia="en-GB"/>
        </w:rPr>
        <w:t xml:space="preserve">a </w:t>
      </w:r>
      <w:r w:rsidRPr="008C25EF">
        <w:rPr>
          <w:rFonts w:ascii="Times New Roman" w:eastAsia="Times New Roman" w:hAnsi="Times New Roman" w:cs="Times New Roman"/>
          <w:lang w:val="en-GB" w:eastAsia="en-GB"/>
        </w:rPr>
        <w:t>supermarket), and a violation arose as the national court failed to have sufficient regard to the relevant factors arising under Article 10.</w:t>
      </w:r>
      <w:r w:rsidR="00234736">
        <w:rPr>
          <w:rStyle w:val="FootnoteReference"/>
          <w:rFonts w:ascii="Times New Roman" w:eastAsia="Times New Roman" w:hAnsi="Times New Roman" w:cs="Times New Roman"/>
          <w:lang w:val="en-GB" w:eastAsia="en-GB"/>
        </w:rPr>
        <w:footnoteReference w:id="12"/>
      </w:r>
    </w:p>
    <w:p w14:paraId="25CFA1C5"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64259817" w14:textId="7044DF8D" w:rsidR="008C25EF" w:rsidRPr="002853E9" w:rsidRDefault="002853E9"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eastAsia="Times New Roman" w:hAnsi="Times New Roman" w:cs="Times New Roman"/>
          <w:lang w:val="en-GB" w:eastAsia="en-GB"/>
        </w:rPr>
        <w:t xml:space="preserve">The case of </w:t>
      </w:r>
      <w:r w:rsidR="00534BFC" w:rsidRPr="008C25EF">
        <w:rPr>
          <w:rFonts w:ascii="Times New Roman" w:eastAsia="Times New Roman" w:hAnsi="Times New Roman" w:cs="Times New Roman"/>
          <w:b/>
          <w:bCs/>
          <w:i/>
          <w:iCs/>
          <w:lang w:val="en-GB" w:eastAsia="en-GB"/>
        </w:rPr>
        <w:t>Bryan and Others v</w:t>
      </w:r>
      <w:r>
        <w:rPr>
          <w:rFonts w:ascii="Times New Roman" w:eastAsia="Times New Roman" w:hAnsi="Times New Roman" w:cs="Times New Roman"/>
          <w:b/>
          <w:bCs/>
          <w:i/>
          <w:iCs/>
          <w:lang w:val="en-GB" w:eastAsia="en-GB"/>
        </w:rPr>
        <w:t>.</w:t>
      </w:r>
      <w:r w:rsidR="00534BFC" w:rsidRPr="008C25EF">
        <w:rPr>
          <w:rFonts w:ascii="Times New Roman" w:eastAsia="Times New Roman" w:hAnsi="Times New Roman" w:cs="Times New Roman"/>
          <w:b/>
          <w:bCs/>
          <w:i/>
          <w:iCs/>
          <w:lang w:val="en-GB" w:eastAsia="en-GB"/>
        </w:rPr>
        <w:t xml:space="preserve"> Russia </w:t>
      </w:r>
      <w:r w:rsidR="00534BFC" w:rsidRPr="008C25EF">
        <w:rPr>
          <w:rFonts w:ascii="Times New Roman" w:eastAsia="Times New Roman" w:hAnsi="Times New Roman" w:cs="Times New Roman"/>
          <w:lang w:val="en-GB" w:eastAsia="en-GB"/>
        </w:rPr>
        <w:t>(Application no. 22515/14</w:t>
      </w:r>
      <w:r w:rsidR="009A291E">
        <w:rPr>
          <w:rFonts w:ascii="Times New Roman" w:eastAsia="Times New Roman" w:hAnsi="Times New Roman" w:cs="Times New Roman"/>
          <w:lang w:val="en-GB" w:eastAsia="en-GB"/>
        </w:rPr>
        <w:t>,</w:t>
      </w:r>
      <w:r w:rsidR="00534BFC" w:rsidRPr="008C25EF">
        <w:rPr>
          <w:rFonts w:ascii="Times New Roman" w:eastAsia="Times New Roman" w:hAnsi="Times New Roman" w:cs="Times New Roman"/>
          <w:lang w:val="en-GB" w:eastAsia="en-GB"/>
        </w:rPr>
        <w:t xml:space="preserve"> 27 June 2023) involved a protest by Greenpeace activists on a boat at a Russian offshore oil drilling platform. Two of the activists had begun climbing the platform to unfurl a banner. They had been detained on charges of piracy, later reclassified as hooliganism. The proceedings were ultimately discontinued under an amnesty. The Court found that “</w:t>
      </w:r>
      <w:r w:rsidR="00534BFC" w:rsidRPr="002853E9">
        <w:rPr>
          <w:rFonts w:ascii="Times New Roman" w:eastAsia="Times New Roman" w:hAnsi="Times New Roman" w:cs="Times New Roman"/>
          <w:i/>
          <w:iCs/>
          <w:lang w:val="en-GB" w:eastAsia="en-GB"/>
        </w:rPr>
        <w:t>notwithstanding [the protest’s] disruptive character</w:t>
      </w:r>
      <w:r w:rsidR="00534BFC" w:rsidRPr="002853E9">
        <w:rPr>
          <w:rFonts w:ascii="Times New Roman" w:eastAsia="Times New Roman" w:hAnsi="Times New Roman" w:cs="Times New Roman"/>
          <w:lang w:val="en-GB" w:eastAsia="en-GB"/>
        </w:rPr>
        <w:t>”, the</w:t>
      </w:r>
      <w:r w:rsidR="00534BFC" w:rsidRPr="008C25EF">
        <w:rPr>
          <w:rFonts w:ascii="Times New Roman" w:eastAsia="Times New Roman" w:hAnsi="Times New Roman" w:cs="Times New Roman"/>
          <w:lang w:val="en-GB" w:eastAsia="en-GB"/>
        </w:rPr>
        <w:t xml:space="preserve"> arrest, detention and prosecution was an interference with the applicants’ freedom to express their opinion on a matter of significant public interest (namely the environmental impact of oil drilling), which had not been prescribed by national law</w:t>
      </w:r>
      <w:r w:rsidR="00534BFC" w:rsidRPr="002853E9">
        <w:rPr>
          <w:rFonts w:ascii="Times New Roman" w:eastAsia="Times New Roman" w:hAnsi="Times New Roman" w:cs="Times New Roman"/>
          <w:lang w:val="en-GB" w:eastAsia="en-GB"/>
        </w:rPr>
        <w:t>.</w:t>
      </w:r>
      <w:r w:rsidR="00534BFC" w:rsidRPr="002853E9">
        <w:rPr>
          <w:rFonts w:ascii="Times New Roman" w:hAnsi="Times New Roman" w:cs="Times New Roman"/>
          <w:vertAlign w:val="superscript"/>
          <w:lang w:val="en-GB" w:eastAsia="en-GB"/>
        </w:rPr>
        <w:footnoteReference w:id="13"/>
      </w:r>
    </w:p>
    <w:p w14:paraId="0F0E38E0" w14:textId="77777777" w:rsidR="008C25EF" w:rsidRPr="008C25EF" w:rsidRDefault="008C25EF" w:rsidP="00824073">
      <w:pPr>
        <w:spacing w:line="360" w:lineRule="auto"/>
        <w:jc w:val="both"/>
        <w:rPr>
          <w:rFonts w:ascii="Times New Roman" w:eastAsia="Times New Roman" w:hAnsi="Times New Roman" w:cs="Times New Roman"/>
          <w:i/>
          <w:iCs/>
          <w:color w:val="212121"/>
          <w:lang w:eastAsia="en-GB"/>
        </w:rPr>
      </w:pPr>
    </w:p>
    <w:p w14:paraId="6A0A3D13" w14:textId="6A46876A" w:rsidR="008C25EF" w:rsidRPr="008C25EF"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The </w:t>
      </w:r>
      <w:r w:rsidR="002853E9">
        <w:rPr>
          <w:rFonts w:ascii="Times New Roman" w:eastAsia="Times New Roman" w:hAnsi="Times New Roman" w:cs="Times New Roman"/>
          <w:lang w:val="en-GB" w:eastAsia="en-GB"/>
        </w:rPr>
        <w:t>E</w:t>
      </w:r>
      <w:r w:rsidRPr="008C25EF">
        <w:rPr>
          <w:rFonts w:ascii="Times New Roman" w:eastAsia="Times New Roman" w:hAnsi="Times New Roman" w:cs="Times New Roman"/>
          <w:lang w:val="en-GB" w:eastAsia="en-GB"/>
        </w:rPr>
        <w:t>Ct</w:t>
      </w:r>
      <w:r w:rsidR="002853E9">
        <w:rPr>
          <w:rFonts w:ascii="Times New Roman" w:eastAsia="Times New Roman" w:hAnsi="Times New Roman" w:cs="Times New Roman"/>
          <w:lang w:val="en-GB" w:eastAsia="en-GB"/>
        </w:rPr>
        <w:t>HR</w:t>
      </w:r>
      <w:r w:rsidRPr="008C25EF">
        <w:rPr>
          <w:rFonts w:ascii="Times New Roman" w:eastAsia="Times New Roman" w:hAnsi="Times New Roman" w:cs="Times New Roman"/>
          <w:lang w:val="en-GB" w:eastAsia="en-GB"/>
        </w:rPr>
        <w:t xml:space="preserve"> has recognised that Article</w:t>
      </w:r>
      <w:r w:rsidR="002853E9">
        <w:rPr>
          <w:rFonts w:ascii="Times New Roman" w:eastAsia="Times New Roman" w:hAnsi="Times New Roman" w:cs="Times New Roman"/>
          <w:lang w:val="en-GB" w:eastAsia="en-GB"/>
        </w:rPr>
        <w:t>s</w:t>
      </w:r>
      <w:r w:rsidRPr="008C25EF">
        <w:rPr>
          <w:rFonts w:ascii="Times New Roman" w:eastAsia="Times New Roman" w:hAnsi="Times New Roman" w:cs="Times New Roman"/>
          <w:lang w:val="en-GB" w:eastAsia="en-GB"/>
        </w:rPr>
        <w:t xml:space="preserve"> 10 and 11 are closely related, not least because the protection of opinions and the freedom to express them is one of the objectives of the freedom of assembly.</w:t>
      </w:r>
    </w:p>
    <w:p w14:paraId="25D5E1D0" w14:textId="77777777" w:rsidR="008C25EF" w:rsidRPr="008C25EF" w:rsidRDefault="008C25EF" w:rsidP="00824073">
      <w:pPr>
        <w:pStyle w:val="ListParagraph"/>
        <w:spacing w:line="360" w:lineRule="auto"/>
        <w:rPr>
          <w:rFonts w:ascii="Times New Roman" w:eastAsia="Times New Roman" w:hAnsi="Times New Roman" w:cs="Times New Roman"/>
          <w:lang w:val="en-GB" w:eastAsia="en-GB"/>
        </w:rPr>
      </w:pPr>
    </w:p>
    <w:p w14:paraId="0DC245D8" w14:textId="0236A5BB" w:rsidR="008C25EF" w:rsidRPr="009A291E" w:rsidRDefault="0029500E" w:rsidP="009A291E">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In </w:t>
      </w:r>
      <w:proofErr w:type="spellStart"/>
      <w:r w:rsidRPr="008C25EF">
        <w:rPr>
          <w:rFonts w:ascii="Times New Roman" w:eastAsia="Times New Roman" w:hAnsi="Times New Roman" w:cs="Times New Roman"/>
          <w:b/>
          <w:bCs/>
          <w:i/>
          <w:iCs/>
          <w:lang w:val="en-GB" w:eastAsia="en-GB"/>
        </w:rPr>
        <w:t>Taranenko</w:t>
      </w:r>
      <w:proofErr w:type="spellEnd"/>
      <w:r w:rsidRPr="008C25EF">
        <w:rPr>
          <w:rFonts w:ascii="Times New Roman" w:eastAsia="Times New Roman" w:hAnsi="Times New Roman" w:cs="Times New Roman"/>
          <w:b/>
          <w:bCs/>
          <w:i/>
          <w:iCs/>
          <w:lang w:val="en-GB" w:eastAsia="en-GB"/>
        </w:rPr>
        <w:t xml:space="preserve"> v</w:t>
      </w:r>
      <w:r w:rsidR="008C25EF">
        <w:rPr>
          <w:rFonts w:ascii="Times New Roman" w:eastAsia="Times New Roman" w:hAnsi="Times New Roman" w:cs="Times New Roman"/>
          <w:b/>
          <w:bCs/>
          <w:i/>
          <w:iCs/>
          <w:lang w:val="en-GB" w:eastAsia="en-GB"/>
        </w:rPr>
        <w:t>.</w:t>
      </w:r>
      <w:r w:rsidRPr="008C25EF">
        <w:rPr>
          <w:rFonts w:ascii="Times New Roman" w:eastAsia="Times New Roman" w:hAnsi="Times New Roman" w:cs="Times New Roman"/>
          <w:b/>
          <w:bCs/>
          <w:i/>
          <w:iCs/>
          <w:lang w:val="en-GB" w:eastAsia="en-GB"/>
        </w:rPr>
        <w:t xml:space="preserve"> Russia</w:t>
      </w:r>
      <w:r w:rsidRPr="008C25EF">
        <w:rPr>
          <w:rFonts w:ascii="Times New Roman" w:eastAsia="Times New Roman" w:hAnsi="Times New Roman" w:cs="Times New Roman"/>
          <w:b/>
          <w:bCs/>
          <w:lang w:val="en-GB" w:eastAsia="en-GB"/>
        </w:rPr>
        <w:t xml:space="preserve"> </w:t>
      </w:r>
      <w:r w:rsidRPr="002853E9">
        <w:rPr>
          <w:rFonts w:ascii="Times New Roman" w:eastAsia="Times New Roman" w:hAnsi="Times New Roman" w:cs="Times New Roman"/>
          <w:lang w:val="en-GB" w:eastAsia="en-GB"/>
        </w:rPr>
        <w:t>(App</w:t>
      </w:r>
      <w:r w:rsidR="002853E9" w:rsidRPr="002853E9">
        <w:rPr>
          <w:rFonts w:ascii="Times New Roman" w:eastAsia="Times New Roman" w:hAnsi="Times New Roman" w:cs="Times New Roman"/>
          <w:lang w:val="en-GB" w:eastAsia="en-GB"/>
        </w:rPr>
        <w:t>lication</w:t>
      </w:r>
      <w:r w:rsidRPr="002853E9">
        <w:rPr>
          <w:rFonts w:ascii="Times New Roman" w:eastAsia="Times New Roman" w:hAnsi="Times New Roman" w:cs="Times New Roman"/>
          <w:lang w:val="en-GB" w:eastAsia="en-GB"/>
        </w:rPr>
        <w:t xml:space="preserve"> no 19554/05</w:t>
      </w:r>
      <w:r w:rsidR="009A291E">
        <w:rPr>
          <w:rFonts w:ascii="Times New Roman" w:eastAsia="Times New Roman" w:hAnsi="Times New Roman" w:cs="Times New Roman"/>
          <w:lang w:val="en-GB" w:eastAsia="en-GB"/>
        </w:rPr>
        <w:t>,</w:t>
      </w:r>
      <w:r w:rsidRPr="002853E9">
        <w:rPr>
          <w:rFonts w:ascii="Times New Roman" w:eastAsia="Times New Roman" w:hAnsi="Times New Roman" w:cs="Times New Roman"/>
          <w:lang w:val="en-GB" w:eastAsia="en-GB"/>
        </w:rPr>
        <w:t xml:space="preserve"> 15 May 2014),</w:t>
      </w:r>
      <w:r w:rsidRPr="008C25EF">
        <w:rPr>
          <w:rFonts w:ascii="Times New Roman" w:eastAsia="Times New Roman" w:hAnsi="Times New Roman" w:cs="Times New Roman"/>
          <w:lang w:val="en-GB" w:eastAsia="en-GB"/>
        </w:rPr>
        <w:t xml:space="preserve"> the applicant had with others locked herself inside an administrative building, waving placards and distributing leaflets from the windows, and was ultimately convicted of an offence. The Court found a violation of Articles 10 and 11. It </w:t>
      </w:r>
      <w:r w:rsidRPr="009A291E">
        <w:rPr>
          <w:rFonts w:ascii="Times New Roman" w:eastAsia="Times New Roman" w:hAnsi="Times New Roman" w:cs="Times New Roman"/>
          <w:lang w:val="en-GB" w:eastAsia="en-GB"/>
        </w:rPr>
        <w:t>surveyed some of the caselaw on protests and proportionate sentences for criminal activity, summarising the position</w:t>
      </w:r>
      <w:r w:rsidR="009A291E" w:rsidRPr="009A291E">
        <w:rPr>
          <w:rFonts w:ascii="Times New Roman" w:eastAsia="Times New Roman" w:hAnsi="Times New Roman" w:cs="Times New Roman"/>
          <w:lang w:val="en-GB" w:eastAsia="en-GB"/>
        </w:rPr>
        <w:t xml:space="preserve"> (</w:t>
      </w:r>
      <w:r w:rsidR="009A291E">
        <w:rPr>
          <w:rFonts w:ascii="Times New Roman" w:eastAsia="Times New Roman" w:hAnsi="Times New Roman" w:cs="Times New Roman"/>
          <w:lang w:val="en-GB" w:eastAsia="en-GB"/>
        </w:rPr>
        <w:t>wi</w:t>
      </w:r>
      <w:r w:rsidR="009A291E" w:rsidRPr="009A291E">
        <w:rPr>
          <w:rFonts w:ascii="Times New Roman" w:eastAsia="Times New Roman" w:hAnsi="Times New Roman" w:cs="Times New Roman"/>
          <w:lang w:val="en-GB" w:eastAsia="en-GB"/>
        </w:rPr>
        <w:t xml:space="preserve">th reference to the </w:t>
      </w:r>
      <w:r w:rsidR="009A291E" w:rsidRPr="009A291E">
        <w:rPr>
          <w:rFonts w:ascii="Times New Roman" w:hAnsi="Times New Roman" w:cs="Times New Roman"/>
        </w:rPr>
        <w:t xml:space="preserve">of </w:t>
      </w:r>
      <w:proofErr w:type="spellStart"/>
      <w:r w:rsidR="009A291E" w:rsidRPr="009A291E">
        <w:rPr>
          <w:rFonts w:ascii="Times New Roman" w:hAnsi="Times New Roman" w:cs="Times New Roman"/>
          <w:i/>
          <w:iCs/>
        </w:rPr>
        <w:t>Ezelin</w:t>
      </w:r>
      <w:proofErr w:type="spellEnd"/>
      <w:r w:rsidR="009A291E" w:rsidRPr="009A291E">
        <w:rPr>
          <w:rFonts w:ascii="Times New Roman" w:hAnsi="Times New Roman" w:cs="Times New Roman"/>
          <w:i/>
          <w:iCs/>
        </w:rPr>
        <w:t xml:space="preserve"> v</w:t>
      </w:r>
      <w:r w:rsidR="009A291E">
        <w:rPr>
          <w:rFonts w:ascii="Times New Roman" w:hAnsi="Times New Roman" w:cs="Times New Roman"/>
          <w:i/>
          <w:iCs/>
        </w:rPr>
        <w:t>.</w:t>
      </w:r>
      <w:r w:rsidR="009A291E" w:rsidRPr="009A291E">
        <w:rPr>
          <w:rFonts w:ascii="Times New Roman" w:hAnsi="Times New Roman" w:cs="Times New Roman"/>
          <w:i/>
          <w:iCs/>
        </w:rPr>
        <w:t xml:space="preserve"> France</w:t>
      </w:r>
      <w:r w:rsidR="00234736">
        <w:rPr>
          <w:rFonts w:ascii="Times New Roman" w:hAnsi="Times New Roman" w:cs="Times New Roman"/>
        </w:rPr>
        <w:t>)</w:t>
      </w:r>
      <w:r w:rsidRPr="009A291E">
        <w:rPr>
          <w:rFonts w:ascii="Times New Roman" w:eastAsia="Times New Roman" w:hAnsi="Times New Roman" w:cs="Times New Roman"/>
          <w:lang w:val="en-GB" w:eastAsia="en-GB"/>
        </w:rPr>
        <w:t xml:space="preserve"> that</w:t>
      </w:r>
      <w:r w:rsidR="009A291E" w:rsidRPr="009A291E">
        <w:rPr>
          <w:rFonts w:ascii="Times New Roman" w:eastAsia="Times New Roman" w:hAnsi="Times New Roman" w:cs="Times New Roman"/>
          <w:lang w:val="en-GB" w:eastAsia="en-GB"/>
        </w:rPr>
        <w:t xml:space="preserve"> (at </w:t>
      </w:r>
      <w:r w:rsidR="009A291E" w:rsidRPr="009A291E">
        <w:rPr>
          <w:rFonts w:ascii="Times New Roman" w:hAnsi="Times New Roman" w:cs="Times New Roman"/>
        </w:rPr>
        <w:t>§§87-88):</w:t>
      </w:r>
    </w:p>
    <w:p w14:paraId="055E328D" w14:textId="77777777" w:rsidR="009A291E" w:rsidRPr="009A291E" w:rsidRDefault="009A291E" w:rsidP="009A291E">
      <w:pPr>
        <w:spacing w:line="360" w:lineRule="auto"/>
        <w:jc w:val="both"/>
        <w:rPr>
          <w:rFonts w:ascii="Times New Roman" w:eastAsia="Times New Roman" w:hAnsi="Times New Roman" w:cs="Times New Roman"/>
          <w:i/>
          <w:iCs/>
          <w:color w:val="212121"/>
          <w:lang w:eastAsia="en-GB"/>
        </w:rPr>
      </w:pPr>
    </w:p>
    <w:p w14:paraId="4384D242" w14:textId="2EF22DA2" w:rsidR="009A291E" w:rsidRDefault="0029500E" w:rsidP="009A291E">
      <w:pPr>
        <w:pStyle w:val="ListParagraph"/>
        <w:spacing w:line="360" w:lineRule="auto"/>
        <w:ind w:left="1440"/>
        <w:jc w:val="both"/>
        <w:rPr>
          <w:rFonts w:ascii="Times New Roman" w:eastAsia="Times New Roman" w:hAnsi="Times New Roman" w:cs="Times New Roman"/>
          <w:i/>
          <w:iCs/>
          <w:lang w:val="en-GB" w:eastAsia="en-GB"/>
        </w:rPr>
      </w:pPr>
      <w:r w:rsidRPr="008C25EF">
        <w:rPr>
          <w:rFonts w:ascii="Times New Roman" w:eastAsia="Times New Roman" w:hAnsi="Times New Roman" w:cs="Times New Roman"/>
          <w:i/>
          <w:iCs/>
          <w:lang w:val="en-GB" w:eastAsia="en-GB"/>
        </w:rPr>
        <w:t>“</w:t>
      </w:r>
      <w:r w:rsidR="009A291E">
        <w:rPr>
          <w:rFonts w:ascii="Times New Roman" w:eastAsia="Times New Roman" w:hAnsi="Times New Roman" w:cs="Times New Roman"/>
          <w:i/>
          <w:iCs/>
          <w:lang w:val="en-GB" w:eastAsia="en-GB"/>
        </w:rPr>
        <w:t xml:space="preserve">… </w:t>
      </w:r>
      <w:r w:rsidRPr="008C25EF">
        <w:rPr>
          <w:rFonts w:ascii="Times New Roman" w:eastAsia="Times New Roman" w:hAnsi="Times New Roman" w:cs="Times New Roman"/>
          <w:i/>
          <w:iCs/>
          <w:lang w:val="en-GB" w:eastAsia="en-GB"/>
        </w:rPr>
        <w:t xml:space="preserve">the Contracting States’ discretion in punishing illegal conduct intertwined with expression or association, although wide, is not unlimited. It goes hand in hand with European supervision by the Court, whose task is to give a final ruling on whether the penalty was compatible with Article 10 or 11. The Court must examine with </w:t>
      </w:r>
      <w:proofErr w:type="gramStart"/>
      <w:r w:rsidRPr="008C25EF">
        <w:rPr>
          <w:rFonts w:ascii="Times New Roman" w:eastAsia="Times New Roman" w:hAnsi="Times New Roman" w:cs="Times New Roman"/>
          <w:i/>
          <w:iCs/>
          <w:lang w:val="en-GB" w:eastAsia="en-GB"/>
        </w:rPr>
        <w:t>particular scrutiny</w:t>
      </w:r>
      <w:proofErr w:type="gramEnd"/>
      <w:r w:rsidRPr="008C25EF">
        <w:rPr>
          <w:rFonts w:ascii="Times New Roman" w:eastAsia="Times New Roman" w:hAnsi="Times New Roman" w:cs="Times New Roman"/>
          <w:i/>
          <w:iCs/>
          <w:lang w:val="en-GB" w:eastAsia="en-GB"/>
        </w:rPr>
        <w:t xml:space="preserve"> the cases where sanctions imposed by the national authorities for non-violent conduct involve a prison sentence</w:t>
      </w:r>
      <w:r w:rsidR="002853E9">
        <w:rPr>
          <w:rFonts w:ascii="Times New Roman" w:eastAsia="Times New Roman" w:hAnsi="Times New Roman" w:cs="Times New Roman"/>
          <w:i/>
          <w:iCs/>
          <w:lang w:val="en-GB" w:eastAsia="en-GB"/>
        </w:rPr>
        <w:t xml:space="preserve"> …</w:t>
      </w:r>
    </w:p>
    <w:p w14:paraId="0C705C59" w14:textId="32CD8D79" w:rsidR="008C25EF" w:rsidRPr="009A291E" w:rsidRDefault="0029500E" w:rsidP="009A291E">
      <w:pPr>
        <w:pStyle w:val="ListParagraph"/>
        <w:spacing w:line="360" w:lineRule="auto"/>
        <w:ind w:left="1440"/>
        <w:jc w:val="both"/>
        <w:rPr>
          <w:rFonts w:ascii="Times New Roman" w:eastAsia="Times New Roman" w:hAnsi="Times New Roman" w:cs="Times New Roman"/>
          <w:i/>
          <w:iCs/>
          <w:lang w:val="en-GB" w:eastAsia="en-GB"/>
        </w:rPr>
      </w:pPr>
      <w:r w:rsidRPr="009A291E">
        <w:rPr>
          <w:rFonts w:ascii="Times New Roman" w:eastAsia="Times New Roman" w:hAnsi="Times New Roman" w:cs="Times New Roman"/>
          <w:i/>
          <w:iCs/>
          <w:lang w:val="en-GB" w:eastAsia="en-GB"/>
        </w:rPr>
        <w:t xml:space="preserve">that participants in a demonstration which results in damage or other </w:t>
      </w:r>
      <w:proofErr w:type="gramStart"/>
      <w:r w:rsidRPr="009A291E">
        <w:rPr>
          <w:rFonts w:ascii="Times New Roman" w:eastAsia="Times New Roman" w:hAnsi="Times New Roman" w:cs="Times New Roman"/>
          <w:i/>
          <w:iCs/>
          <w:lang w:val="en-GB" w:eastAsia="en-GB"/>
        </w:rPr>
        <w:t>disorder</w:t>
      </w:r>
      <w:proofErr w:type="gramEnd"/>
      <w:r w:rsidRPr="009A291E">
        <w:rPr>
          <w:rFonts w:ascii="Times New Roman" w:eastAsia="Times New Roman" w:hAnsi="Times New Roman" w:cs="Times New Roman"/>
          <w:i/>
          <w:iCs/>
          <w:lang w:val="en-GB" w:eastAsia="en-GB"/>
        </w:rPr>
        <w:t xml:space="preserve"> but who do not themselves commit any violent or otherwise reprehensible acts cannot be prosecuted solely on the ground of their participation in the demonstration.”</w:t>
      </w:r>
    </w:p>
    <w:p w14:paraId="2B51CA43" w14:textId="77777777" w:rsidR="008C25EF" w:rsidRDefault="008C25EF" w:rsidP="00824073">
      <w:pPr>
        <w:spacing w:line="360" w:lineRule="auto"/>
        <w:jc w:val="both"/>
        <w:rPr>
          <w:rFonts w:ascii="Times New Roman" w:eastAsia="Times New Roman" w:hAnsi="Times New Roman" w:cs="Times New Roman"/>
          <w:lang w:val="en-GB" w:eastAsia="en-GB"/>
        </w:rPr>
      </w:pPr>
    </w:p>
    <w:p w14:paraId="36252172" w14:textId="196D3BA8" w:rsidR="008C25EF" w:rsidRPr="008C25EF"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The </w:t>
      </w:r>
      <w:r w:rsidR="002853E9">
        <w:rPr>
          <w:rFonts w:ascii="Times New Roman" w:eastAsia="Times New Roman" w:hAnsi="Times New Roman" w:cs="Times New Roman"/>
          <w:lang w:val="en-GB" w:eastAsia="en-GB"/>
        </w:rPr>
        <w:t>E</w:t>
      </w:r>
      <w:r w:rsidRPr="008C25EF">
        <w:rPr>
          <w:rFonts w:ascii="Times New Roman" w:eastAsia="Times New Roman" w:hAnsi="Times New Roman" w:cs="Times New Roman"/>
          <w:lang w:val="en-GB" w:eastAsia="en-GB"/>
        </w:rPr>
        <w:t>Ct</w:t>
      </w:r>
      <w:r w:rsidR="002853E9">
        <w:rPr>
          <w:rFonts w:ascii="Times New Roman" w:eastAsia="Times New Roman" w:hAnsi="Times New Roman" w:cs="Times New Roman"/>
          <w:lang w:val="en-GB" w:eastAsia="en-GB"/>
        </w:rPr>
        <w:t>HR</w:t>
      </w:r>
      <w:r w:rsidRPr="008C25EF">
        <w:rPr>
          <w:rFonts w:ascii="Times New Roman" w:eastAsia="Times New Roman" w:hAnsi="Times New Roman" w:cs="Times New Roman"/>
          <w:lang w:val="en-GB" w:eastAsia="en-GB"/>
        </w:rPr>
        <w:t xml:space="preserve"> noted </w:t>
      </w:r>
      <w:r w:rsidR="008C25EF">
        <w:rPr>
          <w:rFonts w:ascii="Times New Roman" w:eastAsia="Times New Roman" w:hAnsi="Times New Roman" w:cs="Times New Roman"/>
          <w:lang w:val="en-GB" w:eastAsia="en-GB"/>
        </w:rPr>
        <w:t xml:space="preserve">that </w:t>
      </w:r>
      <w:r w:rsidRPr="008C25EF">
        <w:rPr>
          <w:rFonts w:ascii="Times New Roman" w:eastAsia="Times New Roman" w:hAnsi="Times New Roman" w:cs="Times New Roman"/>
          <w:lang w:val="en-GB" w:eastAsia="en-GB"/>
        </w:rPr>
        <w:t xml:space="preserve">the building was open to the public subject to identity and security checks, which the protesters had not complied with. Their actions in storming into the building, and pushing one of the guards aside, could have frightened those present and thus arrest and removal may have been justified by public order. However, the length of the applicant’s detention (one year) pending trial and the penalty imposed on her (three years’ imprisonment, suspended) were not proportionate to the legitimate aim pursued. The </w:t>
      </w:r>
      <w:r w:rsidR="00671D32" w:rsidRPr="008C25EF">
        <w:rPr>
          <w:rFonts w:ascii="Times New Roman" w:eastAsia="Times New Roman" w:hAnsi="Times New Roman" w:cs="Times New Roman"/>
          <w:lang w:val="en-GB" w:eastAsia="en-GB"/>
        </w:rPr>
        <w:t xml:space="preserve">Court took the view that the </w:t>
      </w:r>
      <w:r w:rsidRPr="008C25EF">
        <w:rPr>
          <w:rFonts w:ascii="Times New Roman" w:eastAsia="Times New Roman" w:hAnsi="Times New Roman" w:cs="Times New Roman"/>
          <w:lang w:val="en-GB" w:eastAsia="en-GB"/>
        </w:rPr>
        <w:t>unusually severe sanction imposed must have had a chilling effect on the applicant and others taking part in protest actions. Thus, the interference had not been necessary in a democratic society.</w:t>
      </w:r>
    </w:p>
    <w:p w14:paraId="271458B0"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77C7713A" w14:textId="073A45DA" w:rsidR="008C25EF" w:rsidRPr="009A291E" w:rsidRDefault="0029500E" w:rsidP="009A291E">
      <w:pPr>
        <w:pStyle w:val="ListParagraph"/>
        <w:numPr>
          <w:ilvl w:val="0"/>
          <w:numId w:val="1"/>
        </w:numPr>
        <w:spacing w:line="360" w:lineRule="auto"/>
        <w:jc w:val="both"/>
        <w:rPr>
          <w:rFonts w:ascii="Times New Roman" w:eastAsia="Times New Roman" w:hAnsi="Times New Roman" w:cs="Times New Roman"/>
          <w:i/>
          <w:iCs/>
          <w:color w:val="212121"/>
          <w:lang w:eastAsia="en-GB"/>
        </w:rPr>
      </w:pPr>
      <w:proofErr w:type="spellStart"/>
      <w:r w:rsidRPr="00A16E02">
        <w:rPr>
          <w:rFonts w:ascii="Times New Roman" w:eastAsia="Times New Roman" w:hAnsi="Times New Roman" w:cs="Times New Roman"/>
          <w:b/>
          <w:bCs/>
          <w:i/>
          <w:iCs/>
          <w:lang w:val="en-GB" w:eastAsia="en-GB"/>
        </w:rPr>
        <w:lastRenderedPageBreak/>
        <w:t>T</w:t>
      </w:r>
      <w:r w:rsidRPr="008C25EF">
        <w:rPr>
          <w:rFonts w:ascii="Times New Roman" w:eastAsia="Times New Roman" w:hAnsi="Times New Roman" w:cs="Times New Roman"/>
          <w:b/>
          <w:bCs/>
          <w:i/>
          <w:iCs/>
          <w:lang w:val="en-GB" w:eastAsia="en-GB"/>
        </w:rPr>
        <w:t>uskia</w:t>
      </w:r>
      <w:proofErr w:type="spellEnd"/>
      <w:r w:rsidRPr="008C25EF">
        <w:rPr>
          <w:rFonts w:ascii="Times New Roman" w:eastAsia="Times New Roman" w:hAnsi="Times New Roman" w:cs="Times New Roman"/>
          <w:b/>
          <w:bCs/>
          <w:i/>
          <w:iCs/>
          <w:lang w:val="en-GB" w:eastAsia="en-GB"/>
        </w:rPr>
        <w:t xml:space="preserve"> and others v</w:t>
      </w:r>
      <w:r w:rsidR="0053696C">
        <w:rPr>
          <w:rFonts w:ascii="Times New Roman" w:eastAsia="Times New Roman" w:hAnsi="Times New Roman" w:cs="Times New Roman"/>
          <w:b/>
          <w:bCs/>
          <w:i/>
          <w:iCs/>
          <w:lang w:val="en-GB" w:eastAsia="en-GB"/>
        </w:rPr>
        <w:t>.</w:t>
      </w:r>
      <w:r w:rsidRPr="008C25EF">
        <w:rPr>
          <w:rFonts w:ascii="Times New Roman" w:eastAsia="Times New Roman" w:hAnsi="Times New Roman" w:cs="Times New Roman"/>
          <w:b/>
          <w:bCs/>
          <w:i/>
          <w:iCs/>
          <w:lang w:val="en-GB" w:eastAsia="en-GB"/>
        </w:rPr>
        <w:t xml:space="preserve"> Georgia</w:t>
      </w:r>
      <w:r w:rsidRPr="008C25EF">
        <w:rPr>
          <w:rFonts w:ascii="Times New Roman" w:eastAsia="Times New Roman" w:hAnsi="Times New Roman" w:cs="Times New Roman"/>
          <w:b/>
          <w:bCs/>
          <w:lang w:val="en-GB" w:eastAsia="en-GB"/>
        </w:rPr>
        <w:t xml:space="preserve"> </w:t>
      </w:r>
      <w:r w:rsidRPr="008C25EF">
        <w:rPr>
          <w:rFonts w:ascii="Times New Roman" w:eastAsia="Times New Roman" w:hAnsi="Times New Roman" w:cs="Times New Roman"/>
          <w:lang w:val="en-GB" w:eastAsia="en-GB"/>
        </w:rPr>
        <w:t>(Application no. 14237/07</w:t>
      </w:r>
      <w:r w:rsidR="009A291E">
        <w:rPr>
          <w:rFonts w:ascii="Times New Roman" w:eastAsia="Times New Roman" w:hAnsi="Times New Roman" w:cs="Times New Roman"/>
          <w:lang w:val="en-GB" w:eastAsia="en-GB"/>
        </w:rPr>
        <w:t>,</w:t>
      </w:r>
      <w:r w:rsidRPr="009A291E">
        <w:rPr>
          <w:rFonts w:ascii="Times New Roman" w:eastAsia="Times New Roman" w:hAnsi="Times New Roman" w:cs="Times New Roman"/>
          <w:lang w:val="en-GB" w:eastAsia="en-GB"/>
        </w:rPr>
        <w:t xml:space="preserve"> 11 October 2018) also involved activities in a semi-private premises. The applicants were university staff members. They held an unauthorised meeting on university premises and then forced their way into the Rector’s office, demanding his resignation. They were removed by police, found guilty of administrative offences, and fined. The Court assessed the interference with Article 11, read in light of Article 10</w:t>
      </w:r>
      <w:r w:rsidR="009A291E">
        <w:rPr>
          <w:rFonts w:ascii="Times New Roman" w:eastAsia="Times New Roman" w:hAnsi="Times New Roman" w:cs="Times New Roman"/>
          <w:lang w:val="en-GB" w:eastAsia="en-GB"/>
        </w:rPr>
        <w:t>,</w:t>
      </w:r>
      <w:r w:rsidR="00A07A73" w:rsidRPr="009A291E">
        <w:rPr>
          <w:rFonts w:ascii="Times New Roman" w:eastAsia="Times New Roman" w:hAnsi="Times New Roman" w:cs="Times New Roman"/>
          <w:lang w:val="en-GB" w:eastAsia="en-GB"/>
        </w:rPr>
        <w:t xml:space="preserve"> and</w:t>
      </w:r>
      <w:r w:rsidR="00EC607A" w:rsidRPr="009A291E">
        <w:rPr>
          <w:rFonts w:ascii="Times New Roman" w:eastAsia="Times New Roman" w:hAnsi="Times New Roman" w:cs="Times New Roman"/>
          <w:lang w:val="en-GB" w:eastAsia="en-GB"/>
        </w:rPr>
        <w:t xml:space="preserve"> noted some </w:t>
      </w:r>
      <w:r w:rsidR="007E6BF7" w:rsidRPr="009A291E">
        <w:rPr>
          <w:rFonts w:ascii="Times New Roman" w:eastAsia="Times New Roman" w:hAnsi="Times New Roman" w:cs="Times New Roman"/>
          <w:lang w:val="en-GB" w:eastAsia="en-GB"/>
        </w:rPr>
        <w:t>limits on the right of assembly including</w:t>
      </w:r>
      <w:r w:rsidR="00AB6E6C" w:rsidRPr="009A291E">
        <w:rPr>
          <w:rFonts w:ascii="Times New Roman" w:eastAsia="Times New Roman" w:hAnsi="Times New Roman" w:cs="Times New Roman"/>
          <w:lang w:val="en-GB" w:eastAsia="en-GB"/>
        </w:rPr>
        <w:t xml:space="preserve"> in relation to private property; there was no “</w:t>
      </w:r>
      <w:r w:rsidRPr="009A291E">
        <w:rPr>
          <w:rFonts w:ascii="Times New Roman" w:eastAsia="Times New Roman" w:hAnsi="Times New Roman" w:cs="Times New Roman"/>
          <w:i/>
          <w:iCs/>
          <w:lang w:val="en-GB" w:eastAsia="en-GB"/>
        </w:rPr>
        <w:t>automatic creation of rights of entry to private property, or even, necessarily, to all publicly owned property, such as, for instance, government offices and ministries</w:t>
      </w:r>
      <w:r w:rsidRPr="009A291E">
        <w:rPr>
          <w:rFonts w:ascii="Times New Roman" w:eastAsia="Times New Roman" w:hAnsi="Times New Roman" w:cs="Times New Roman"/>
          <w:lang w:val="en-GB" w:eastAsia="en-GB"/>
        </w:rPr>
        <w:t>”</w:t>
      </w:r>
      <w:r w:rsidR="009A291E" w:rsidRPr="009A291E">
        <w:rPr>
          <w:rFonts w:ascii="Times New Roman" w:eastAsia="Times New Roman" w:hAnsi="Times New Roman" w:cs="Times New Roman"/>
          <w:lang w:val="en-GB" w:eastAsia="en-GB"/>
        </w:rPr>
        <w:t xml:space="preserve"> (at </w:t>
      </w:r>
      <w:r w:rsidR="009A291E" w:rsidRPr="009A291E">
        <w:rPr>
          <w:rFonts w:ascii="Times New Roman" w:hAnsi="Times New Roman" w:cs="Times New Roman"/>
        </w:rPr>
        <w:t xml:space="preserve">§72). </w:t>
      </w:r>
    </w:p>
    <w:p w14:paraId="394FC398" w14:textId="77777777" w:rsidR="008C25EF" w:rsidRPr="009A291E" w:rsidRDefault="008C25EF" w:rsidP="00824073">
      <w:pPr>
        <w:pStyle w:val="ListParagraph"/>
        <w:spacing w:line="360" w:lineRule="auto"/>
        <w:rPr>
          <w:rFonts w:ascii="Times New Roman" w:eastAsia="Times New Roman" w:hAnsi="Times New Roman" w:cs="Times New Roman"/>
          <w:lang w:val="en-GB" w:eastAsia="en-GB"/>
        </w:rPr>
      </w:pPr>
    </w:p>
    <w:p w14:paraId="07879359" w14:textId="12E867F6" w:rsidR="008C25EF" w:rsidRPr="0053696C"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9A291E">
        <w:rPr>
          <w:rFonts w:ascii="Times New Roman" w:eastAsia="Times New Roman" w:hAnsi="Times New Roman" w:cs="Times New Roman"/>
          <w:lang w:val="en-GB" w:eastAsia="en-GB"/>
        </w:rPr>
        <w:t xml:space="preserve">The </w:t>
      </w:r>
      <w:r w:rsidR="0053696C" w:rsidRPr="009A291E">
        <w:rPr>
          <w:rFonts w:ascii="Times New Roman" w:eastAsia="Times New Roman" w:hAnsi="Times New Roman" w:cs="Times New Roman"/>
          <w:lang w:val="en-GB" w:eastAsia="en-GB"/>
        </w:rPr>
        <w:t>E</w:t>
      </w:r>
      <w:r w:rsidRPr="009A291E">
        <w:rPr>
          <w:rFonts w:ascii="Times New Roman" w:eastAsia="Times New Roman" w:hAnsi="Times New Roman" w:cs="Times New Roman"/>
          <w:lang w:val="en-GB" w:eastAsia="en-GB"/>
        </w:rPr>
        <w:t>C</w:t>
      </w:r>
      <w:r w:rsidR="0053696C" w:rsidRPr="009A291E">
        <w:rPr>
          <w:rFonts w:ascii="Times New Roman" w:eastAsia="Times New Roman" w:hAnsi="Times New Roman" w:cs="Times New Roman"/>
          <w:lang w:val="en-GB" w:eastAsia="en-GB"/>
        </w:rPr>
        <w:t>tHR</w:t>
      </w:r>
      <w:r w:rsidRPr="009A291E">
        <w:rPr>
          <w:rFonts w:ascii="Times New Roman" w:eastAsia="Times New Roman" w:hAnsi="Times New Roman" w:cs="Times New Roman"/>
          <w:lang w:val="en-GB" w:eastAsia="en-GB"/>
        </w:rPr>
        <w:t xml:space="preserve"> accepted that the assembly in the office, though arising in a situation of tension, was not of such a violent nature as to exclude it from protection under Article 11. The removal </w:t>
      </w:r>
      <w:r w:rsidR="0053696C" w:rsidRPr="009A291E">
        <w:rPr>
          <w:rFonts w:ascii="Times New Roman" w:eastAsia="Times New Roman" w:hAnsi="Times New Roman" w:cs="Times New Roman"/>
          <w:lang w:val="en-GB" w:eastAsia="en-GB"/>
        </w:rPr>
        <w:t xml:space="preserve">of the applicants </w:t>
      </w:r>
      <w:r w:rsidRPr="009A291E">
        <w:rPr>
          <w:rFonts w:ascii="Times New Roman" w:eastAsia="Times New Roman" w:hAnsi="Times New Roman" w:cs="Times New Roman"/>
          <w:lang w:val="en-GB" w:eastAsia="en-GB"/>
        </w:rPr>
        <w:t>from the (private) premises and subsequent sanction constituted an interference with their Article 11 right. However, the interference</w:t>
      </w:r>
      <w:r w:rsidRPr="0053696C">
        <w:rPr>
          <w:rFonts w:ascii="Times New Roman" w:eastAsia="Times New Roman" w:hAnsi="Times New Roman" w:cs="Times New Roman"/>
          <w:lang w:val="en-GB" w:eastAsia="en-GB"/>
        </w:rPr>
        <w:t xml:space="preserve"> pursued the legitimate aims of preventing public disorder and protecting the rights of others, and so was not disproportionate – particularly as the applicants had been allowed to proceed with a meeting and other protests elsewhere on campus previously.</w:t>
      </w:r>
    </w:p>
    <w:p w14:paraId="772C851C" w14:textId="77777777" w:rsidR="008C25EF" w:rsidRPr="008C25EF" w:rsidRDefault="008C25EF" w:rsidP="00824073">
      <w:pPr>
        <w:pStyle w:val="ListParagraph"/>
        <w:spacing w:line="360" w:lineRule="auto"/>
        <w:rPr>
          <w:rFonts w:ascii="Times New Roman" w:eastAsia="Times New Roman" w:hAnsi="Times New Roman" w:cs="Times New Roman"/>
          <w:lang w:val="en-GB" w:eastAsia="en-GB"/>
        </w:rPr>
      </w:pPr>
    </w:p>
    <w:p w14:paraId="60A257E0" w14:textId="0EF807B6" w:rsidR="00BE40BB" w:rsidRPr="00E362B5"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E362B5">
        <w:rPr>
          <w:rFonts w:ascii="Times New Roman" w:eastAsia="Times New Roman" w:hAnsi="Times New Roman" w:cs="Times New Roman"/>
          <w:lang w:val="en-GB" w:eastAsia="en-GB"/>
        </w:rPr>
        <w:t xml:space="preserve">In </w:t>
      </w:r>
      <w:r w:rsidRPr="00E362B5">
        <w:rPr>
          <w:rFonts w:ascii="Times New Roman" w:eastAsia="Times New Roman" w:hAnsi="Times New Roman" w:cs="Times New Roman"/>
          <w:b/>
          <w:bCs/>
          <w:i/>
          <w:iCs/>
          <w:lang w:val="en-GB" w:eastAsia="en-GB"/>
        </w:rPr>
        <w:t>Novikova and Others v</w:t>
      </w:r>
      <w:r w:rsidR="0053696C" w:rsidRPr="00E362B5">
        <w:rPr>
          <w:rFonts w:ascii="Times New Roman" w:eastAsia="Times New Roman" w:hAnsi="Times New Roman" w:cs="Times New Roman"/>
          <w:b/>
          <w:bCs/>
          <w:i/>
          <w:iCs/>
          <w:lang w:val="en-GB" w:eastAsia="en-GB"/>
        </w:rPr>
        <w:t>.</w:t>
      </w:r>
      <w:r w:rsidRPr="00E362B5">
        <w:rPr>
          <w:rFonts w:ascii="Times New Roman" w:eastAsia="Times New Roman" w:hAnsi="Times New Roman" w:cs="Times New Roman"/>
          <w:b/>
          <w:bCs/>
          <w:i/>
          <w:iCs/>
          <w:lang w:val="en-GB" w:eastAsia="en-GB"/>
        </w:rPr>
        <w:t xml:space="preserve"> Russia</w:t>
      </w:r>
      <w:r w:rsidRPr="00E362B5">
        <w:rPr>
          <w:rFonts w:ascii="Times New Roman" w:eastAsia="Times New Roman" w:hAnsi="Times New Roman" w:cs="Times New Roman"/>
          <w:lang w:val="en-GB" w:eastAsia="en-GB"/>
        </w:rPr>
        <w:t xml:space="preserve"> </w:t>
      </w:r>
      <w:r w:rsidRPr="00E362B5">
        <w:rPr>
          <w:rFonts w:ascii="Times New Roman" w:eastAsia="Times New Roman" w:hAnsi="Times New Roman" w:cs="Times New Roman"/>
          <w:b/>
          <w:bCs/>
          <w:lang w:val="en-GB" w:eastAsia="en-GB"/>
        </w:rPr>
        <w:t>(</w:t>
      </w:r>
      <w:r w:rsidRPr="00E362B5">
        <w:rPr>
          <w:rFonts w:ascii="Times New Roman" w:eastAsia="Times New Roman" w:hAnsi="Times New Roman" w:cs="Times New Roman"/>
          <w:lang w:val="en-GB" w:eastAsia="en-GB"/>
        </w:rPr>
        <w:t>Application nos. 25501/07, 57569/11, 80153/12, 5790/13 and 35015/13</w:t>
      </w:r>
      <w:r w:rsidR="009A291E">
        <w:rPr>
          <w:rFonts w:ascii="Times New Roman" w:eastAsia="Times New Roman" w:hAnsi="Times New Roman" w:cs="Times New Roman"/>
          <w:lang w:val="en-GB" w:eastAsia="en-GB"/>
        </w:rPr>
        <w:t>,</w:t>
      </w:r>
      <w:r w:rsidRPr="00E362B5">
        <w:rPr>
          <w:rFonts w:ascii="Times New Roman" w:eastAsia="Times New Roman" w:hAnsi="Times New Roman" w:cs="Times New Roman"/>
          <w:lang w:val="en-GB" w:eastAsia="en-GB"/>
        </w:rPr>
        <w:t xml:space="preserve"> 26 April 2016), the applicants had taken part in “</w:t>
      </w:r>
      <w:r w:rsidRPr="00E362B5">
        <w:rPr>
          <w:rFonts w:ascii="Times New Roman" w:eastAsia="Times New Roman" w:hAnsi="Times New Roman" w:cs="Times New Roman"/>
          <w:i/>
          <w:iCs/>
          <w:lang w:val="en-GB" w:eastAsia="en-GB"/>
        </w:rPr>
        <w:t>solo static demonstrations</w:t>
      </w:r>
      <w:r w:rsidRPr="00E362B5">
        <w:rPr>
          <w:rFonts w:ascii="Times New Roman" w:eastAsia="Times New Roman" w:hAnsi="Times New Roman" w:cs="Times New Roman"/>
          <w:lang w:val="en-GB" w:eastAsia="en-GB"/>
        </w:rPr>
        <w:t xml:space="preserve">” and had been arrested, with some convicted of offences. The Court held </w:t>
      </w:r>
      <w:r w:rsidR="00BE40BB" w:rsidRPr="00E362B5">
        <w:rPr>
          <w:rFonts w:ascii="Times New Roman" w:eastAsia="Times New Roman" w:hAnsi="Times New Roman" w:cs="Times New Roman"/>
          <w:lang w:val="en-GB" w:eastAsia="en-GB"/>
        </w:rPr>
        <w:t xml:space="preserve">that </w:t>
      </w:r>
      <w:r w:rsidRPr="00E362B5">
        <w:rPr>
          <w:rFonts w:ascii="Times New Roman" w:eastAsia="Times New Roman" w:hAnsi="Times New Roman" w:cs="Times New Roman"/>
          <w:lang w:val="en-GB" w:eastAsia="en-GB"/>
        </w:rPr>
        <w:t xml:space="preserve">the measures interfered with Article </w:t>
      </w:r>
      <w:r w:rsidR="00230D78" w:rsidRPr="00E362B5">
        <w:rPr>
          <w:rFonts w:ascii="Times New Roman" w:eastAsia="Times New Roman" w:hAnsi="Times New Roman" w:cs="Times New Roman"/>
          <w:lang w:val="en-GB" w:eastAsia="en-GB"/>
        </w:rPr>
        <w:t>10 and</w:t>
      </w:r>
      <w:r w:rsidRPr="00E362B5">
        <w:rPr>
          <w:rFonts w:ascii="Times New Roman" w:eastAsia="Times New Roman" w:hAnsi="Times New Roman" w:cs="Times New Roman"/>
          <w:lang w:val="en-GB" w:eastAsia="en-GB"/>
        </w:rPr>
        <w:t xml:space="preserve"> failed the necessity test under Article 10(2)</w:t>
      </w:r>
      <w:r w:rsidR="00BE40BB" w:rsidRPr="00E362B5">
        <w:rPr>
          <w:rFonts w:ascii="Times New Roman" w:eastAsia="Times New Roman" w:hAnsi="Times New Roman" w:cs="Times New Roman"/>
          <w:lang w:val="en-GB" w:eastAsia="en-GB"/>
        </w:rPr>
        <w:t>;</w:t>
      </w:r>
      <w:r w:rsidRPr="00E362B5">
        <w:rPr>
          <w:rFonts w:ascii="Times New Roman" w:eastAsia="Times New Roman" w:hAnsi="Times New Roman" w:cs="Times New Roman"/>
          <w:lang w:val="en-GB" w:eastAsia="en-GB"/>
        </w:rPr>
        <w:t xml:space="preserve"> the arrests and conveyance to police stations were not justified as the applicants had been engaging in peaceful acts of political speech, which did not involve obstruction of pedestrians or traffic, or calls for violence. For this reason, it had not been shown that there was a need to take the applicants to police stations. </w:t>
      </w:r>
    </w:p>
    <w:p w14:paraId="1F576973" w14:textId="77777777" w:rsidR="00E362B5" w:rsidRPr="00E362B5" w:rsidRDefault="00E362B5" w:rsidP="00E362B5">
      <w:pPr>
        <w:spacing w:line="360" w:lineRule="auto"/>
        <w:jc w:val="both"/>
        <w:rPr>
          <w:rFonts w:ascii="Times New Roman" w:eastAsia="Times New Roman" w:hAnsi="Times New Roman" w:cs="Times New Roman"/>
          <w:i/>
          <w:iCs/>
          <w:color w:val="212121"/>
          <w:lang w:eastAsia="en-GB"/>
        </w:rPr>
      </w:pPr>
    </w:p>
    <w:p w14:paraId="45289638" w14:textId="7A2F9A9D" w:rsidR="008C25EF" w:rsidRPr="008C25EF"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In </w:t>
      </w:r>
      <w:proofErr w:type="spellStart"/>
      <w:r w:rsidRPr="008C25EF">
        <w:rPr>
          <w:rFonts w:ascii="Times New Roman" w:eastAsia="Times New Roman" w:hAnsi="Times New Roman" w:cs="Times New Roman"/>
          <w:b/>
          <w:bCs/>
          <w:i/>
          <w:iCs/>
          <w:lang w:val="en-GB" w:eastAsia="en-GB"/>
        </w:rPr>
        <w:t>Bumbeș</w:t>
      </w:r>
      <w:proofErr w:type="spellEnd"/>
      <w:r w:rsidRPr="008C25EF">
        <w:rPr>
          <w:rFonts w:ascii="Times New Roman" w:eastAsia="Times New Roman" w:hAnsi="Times New Roman" w:cs="Times New Roman"/>
          <w:b/>
          <w:bCs/>
          <w:i/>
          <w:iCs/>
          <w:lang w:val="en-GB" w:eastAsia="en-GB"/>
        </w:rPr>
        <w:t xml:space="preserve"> v</w:t>
      </w:r>
      <w:r w:rsidR="00BE40BB">
        <w:rPr>
          <w:rFonts w:ascii="Times New Roman" w:eastAsia="Times New Roman" w:hAnsi="Times New Roman" w:cs="Times New Roman"/>
          <w:b/>
          <w:bCs/>
          <w:i/>
          <w:iCs/>
          <w:lang w:val="en-GB" w:eastAsia="en-GB"/>
        </w:rPr>
        <w:t>.</w:t>
      </w:r>
      <w:r w:rsidRPr="008C25EF">
        <w:rPr>
          <w:rFonts w:ascii="Times New Roman" w:eastAsia="Times New Roman" w:hAnsi="Times New Roman" w:cs="Times New Roman"/>
          <w:b/>
          <w:bCs/>
          <w:i/>
          <w:iCs/>
          <w:lang w:val="en-GB" w:eastAsia="en-GB"/>
        </w:rPr>
        <w:t xml:space="preserve"> Romania</w:t>
      </w:r>
      <w:r w:rsidRPr="008C25EF">
        <w:rPr>
          <w:rFonts w:ascii="Times New Roman" w:eastAsia="Times New Roman" w:hAnsi="Times New Roman" w:cs="Times New Roman"/>
          <w:b/>
          <w:bCs/>
          <w:lang w:val="en-GB" w:eastAsia="en-GB"/>
        </w:rPr>
        <w:t xml:space="preserve"> </w:t>
      </w:r>
      <w:r w:rsidRPr="00BE40BB">
        <w:rPr>
          <w:rFonts w:ascii="Times New Roman" w:eastAsia="Times New Roman" w:hAnsi="Times New Roman" w:cs="Times New Roman"/>
          <w:lang w:val="en-GB" w:eastAsia="en-GB"/>
        </w:rPr>
        <w:t>(Application no. 18079/15, 3 May 2022), the</w:t>
      </w:r>
      <w:r w:rsidRPr="008C25EF">
        <w:rPr>
          <w:rFonts w:ascii="Times New Roman" w:eastAsia="Times New Roman" w:hAnsi="Times New Roman" w:cs="Times New Roman"/>
          <w:lang w:val="en-GB" w:eastAsia="en-GB"/>
        </w:rPr>
        <w:t xml:space="preserve"> applicant (and others) </w:t>
      </w:r>
      <w:proofErr w:type="gramStart"/>
      <w:r w:rsidRPr="008C25EF">
        <w:rPr>
          <w:rFonts w:ascii="Times New Roman" w:eastAsia="Times New Roman" w:hAnsi="Times New Roman" w:cs="Times New Roman"/>
          <w:lang w:val="en-GB" w:eastAsia="en-GB"/>
        </w:rPr>
        <w:t>protested against</w:t>
      </w:r>
      <w:proofErr w:type="gramEnd"/>
      <w:r w:rsidRPr="008C25EF">
        <w:rPr>
          <w:rFonts w:ascii="Times New Roman" w:eastAsia="Times New Roman" w:hAnsi="Times New Roman" w:cs="Times New Roman"/>
          <w:lang w:val="en-GB" w:eastAsia="en-GB"/>
        </w:rPr>
        <w:t xml:space="preserve"> mining activities by handcuffing himself to a barrier blocking access to the parking area of the government’s headquarters and by holding up signs</w:t>
      </w:r>
      <w:r w:rsidRPr="00BE40BB">
        <w:rPr>
          <w:rFonts w:ascii="Times New Roman" w:eastAsia="Times New Roman" w:hAnsi="Times New Roman" w:cs="Times New Roman"/>
          <w:lang w:val="en-GB" w:eastAsia="en-GB"/>
        </w:rPr>
        <w:t>.</w:t>
      </w:r>
      <w:r w:rsidR="00313C05">
        <w:rPr>
          <w:rFonts w:ascii="Times New Roman" w:hAnsi="Times New Roman" w:cs="Times New Roman"/>
          <w:vertAlign w:val="superscript"/>
          <w:lang w:val="en-GB" w:eastAsia="en-GB"/>
        </w:rPr>
        <w:t xml:space="preserve"> </w:t>
      </w:r>
      <w:r w:rsidRPr="00BE40BB">
        <w:rPr>
          <w:rFonts w:ascii="Times New Roman" w:eastAsia="Times New Roman" w:hAnsi="Times New Roman" w:cs="Times New Roman"/>
          <w:lang w:val="en-GB" w:eastAsia="en-GB"/>
        </w:rPr>
        <w:t xml:space="preserve"> He was fined for his actions. The Court was of the view that the case fell within the scope of Articles 10 and 11</w:t>
      </w:r>
      <w:r w:rsidR="006C638A">
        <w:rPr>
          <w:rFonts w:ascii="Times New Roman" w:eastAsia="Times New Roman" w:hAnsi="Times New Roman" w:cs="Times New Roman"/>
          <w:lang w:val="en-GB" w:eastAsia="en-GB"/>
        </w:rPr>
        <w:t>.</w:t>
      </w:r>
    </w:p>
    <w:p w14:paraId="388C0A3C" w14:textId="77777777" w:rsidR="008C25EF" w:rsidRDefault="008C25EF" w:rsidP="00824073">
      <w:pPr>
        <w:spacing w:line="360" w:lineRule="auto"/>
        <w:jc w:val="both"/>
        <w:rPr>
          <w:rFonts w:ascii="Times New Roman" w:eastAsia="Times New Roman" w:hAnsi="Times New Roman" w:cs="Times New Roman"/>
          <w:lang w:val="en-GB" w:eastAsia="en-GB"/>
        </w:rPr>
      </w:pPr>
    </w:p>
    <w:p w14:paraId="5E9BDF5A" w14:textId="2297E198" w:rsidR="008C25EF" w:rsidRPr="008C25EF"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lastRenderedPageBreak/>
        <w:t xml:space="preserve">The </w:t>
      </w:r>
      <w:r w:rsidR="006C638A">
        <w:rPr>
          <w:rFonts w:ascii="Times New Roman" w:eastAsia="Times New Roman" w:hAnsi="Times New Roman" w:cs="Times New Roman"/>
          <w:lang w:val="en-GB" w:eastAsia="en-GB"/>
        </w:rPr>
        <w:t>Court</w:t>
      </w:r>
      <w:r w:rsidRPr="008C25EF">
        <w:rPr>
          <w:rFonts w:ascii="Times New Roman" w:eastAsia="Times New Roman" w:hAnsi="Times New Roman" w:cs="Times New Roman"/>
          <w:lang w:val="en-GB" w:eastAsia="en-GB"/>
        </w:rPr>
        <w:t xml:space="preserve"> </w:t>
      </w:r>
      <w:r w:rsidR="006C638A">
        <w:rPr>
          <w:rFonts w:ascii="Times New Roman" w:eastAsia="Times New Roman" w:hAnsi="Times New Roman" w:cs="Times New Roman"/>
          <w:lang w:val="en-GB" w:eastAsia="en-GB"/>
        </w:rPr>
        <w:t>noted</w:t>
      </w:r>
      <w:r w:rsidRPr="008C25EF">
        <w:rPr>
          <w:rFonts w:ascii="Times New Roman" w:eastAsia="Times New Roman" w:hAnsi="Times New Roman" w:cs="Times New Roman"/>
          <w:lang w:val="en-GB" w:eastAsia="en-GB"/>
        </w:rPr>
        <w:t xml:space="preserve"> that Article 11 protects the right to “peaceful assembly”, reiterating</w:t>
      </w:r>
      <w:r w:rsidR="001D5164">
        <w:rPr>
          <w:rFonts w:ascii="Times New Roman" w:eastAsia="Times New Roman" w:hAnsi="Times New Roman" w:cs="Times New Roman"/>
          <w:lang w:val="en-GB" w:eastAsia="en-GB"/>
        </w:rPr>
        <w:t xml:space="preserve"> (at §66)</w:t>
      </w:r>
      <w:r w:rsidRPr="008C25EF">
        <w:rPr>
          <w:rFonts w:ascii="Times New Roman" w:eastAsia="Times New Roman" w:hAnsi="Times New Roman" w:cs="Times New Roman"/>
          <w:lang w:val="en-GB" w:eastAsia="en-GB"/>
        </w:rPr>
        <w:t xml:space="preserve"> “</w:t>
      </w:r>
      <w:r w:rsidRPr="00BE40BB">
        <w:rPr>
          <w:rFonts w:ascii="Times New Roman" w:eastAsia="Times New Roman" w:hAnsi="Times New Roman" w:cs="Times New Roman"/>
          <w:i/>
          <w:iCs/>
          <w:lang w:val="en-GB" w:eastAsia="en-GB"/>
        </w:rPr>
        <w:t>that measures interfering with freedom of assembly and expression other than in cases of incitement to violence or rejection of democratic principles do a disservice to democracy and often even endanger it</w:t>
      </w:r>
      <w:r w:rsidRPr="00BE40BB">
        <w:rPr>
          <w:rFonts w:ascii="Times New Roman" w:eastAsia="Times New Roman" w:hAnsi="Times New Roman" w:cs="Times New Roman"/>
          <w:lang w:val="en-GB" w:eastAsia="en-GB"/>
        </w:rPr>
        <w:t>”.</w:t>
      </w:r>
      <w:r w:rsidR="001D5164" w:rsidRPr="00BE40BB">
        <w:rPr>
          <w:rFonts w:ascii="Times New Roman" w:eastAsia="Times New Roman" w:hAnsi="Times New Roman" w:cs="Times New Roman"/>
          <w:lang w:val="en-GB" w:eastAsia="en-GB"/>
        </w:rPr>
        <w:t xml:space="preserve"> </w:t>
      </w:r>
      <w:r w:rsidRPr="00BE40BB">
        <w:rPr>
          <w:rFonts w:ascii="Times New Roman" w:eastAsia="Times New Roman" w:hAnsi="Times New Roman" w:cs="Times New Roman"/>
          <w:lang w:val="en-GB" w:eastAsia="en-GB"/>
        </w:rPr>
        <w:t>It noted</w:t>
      </w:r>
      <w:r w:rsidRPr="008C25EF">
        <w:rPr>
          <w:rFonts w:ascii="Times New Roman" w:eastAsia="Times New Roman" w:hAnsi="Times New Roman" w:cs="Times New Roman"/>
          <w:lang w:val="en-GB" w:eastAsia="en-GB"/>
        </w:rPr>
        <w:t xml:space="preserve"> the close link between Articles 10 and 11, finding it appropriate to examine the case under Article 10, interpreted </w:t>
      </w:r>
      <w:proofErr w:type="gramStart"/>
      <w:r w:rsidRPr="008C25EF">
        <w:rPr>
          <w:rFonts w:ascii="Times New Roman" w:eastAsia="Times New Roman" w:hAnsi="Times New Roman" w:cs="Times New Roman"/>
          <w:lang w:val="en-GB" w:eastAsia="en-GB"/>
        </w:rPr>
        <w:t>in light of</w:t>
      </w:r>
      <w:proofErr w:type="gramEnd"/>
      <w:r w:rsidRPr="008C25EF">
        <w:rPr>
          <w:rFonts w:ascii="Times New Roman" w:eastAsia="Times New Roman" w:hAnsi="Times New Roman" w:cs="Times New Roman"/>
          <w:lang w:val="en-GB" w:eastAsia="en-GB"/>
        </w:rPr>
        <w:t xml:space="preserve"> Article 11</w:t>
      </w:r>
      <w:r w:rsidR="001D5164">
        <w:rPr>
          <w:rFonts w:ascii="Times New Roman" w:eastAsia="Times New Roman" w:hAnsi="Times New Roman" w:cs="Times New Roman"/>
          <w:lang w:val="en-GB" w:eastAsia="en-GB"/>
        </w:rPr>
        <w:t xml:space="preserve"> (at §69)</w:t>
      </w:r>
      <w:r w:rsidRPr="008C25EF">
        <w:rPr>
          <w:rFonts w:ascii="Times New Roman" w:eastAsia="Times New Roman" w:hAnsi="Times New Roman" w:cs="Times New Roman"/>
          <w:lang w:val="en-GB" w:eastAsia="en-GB"/>
        </w:rPr>
        <w:t xml:space="preserve">: </w:t>
      </w:r>
    </w:p>
    <w:p w14:paraId="256EBEAB" w14:textId="77777777" w:rsidR="00BE40BB" w:rsidRDefault="00BE40BB" w:rsidP="00824073">
      <w:pPr>
        <w:pStyle w:val="ListParagraph"/>
        <w:spacing w:line="360" w:lineRule="auto"/>
        <w:jc w:val="both"/>
        <w:rPr>
          <w:rFonts w:ascii="Times New Roman" w:eastAsia="Times New Roman" w:hAnsi="Times New Roman" w:cs="Times New Roman"/>
          <w:i/>
          <w:iCs/>
          <w:lang w:val="en-GB" w:eastAsia="en-GB"/>
        </w:rPr>
      </w:pPr>
    </w:p>
    <w:p w14:paraId="681F9FCC" w14:textId="5C0E2694" w:rsidR="008C25EF" w:rsidRPr="00234736" w:rsidRDefault="0029500E" w:rsidP="00234736">
      <w:pPr>
        <w:spacing w:line="360" w:lineRule="auto"/>
        <w:ind w:left="644"/>
        <w:jc w:val="both"/>
        <w:rPr>
          <w:rFonts w:ascii="Times New Roman" w:eastAsia="Times New Roman" w:hAnsi="Times New Roman" w:cs="Times New Roman"/>
          <w:i/>
          <w:iCs/>
          <w:lang w:val="en-GB" w:eastAsia="en-GB"/>
        </w:rPr>
      </w:pPr>
      <w:r w:rsidRPr="00234736">
        <w:rPr>
          <w:rFonts w:ascii="Times New Roman" w:eastAsia="Times New Roman" w:hAnsi="Times New Roman" w:cs="Times New Roman"/>
          <w:i/>
          <w:iCs/>
          <w:lang w:val="en-GB" w:eastAsia="en-GB"/>
        </w:rPr>
        <w:t>“</w:t>
      </w:r>
      <w:proofErr w:type="gramStart"/>
      <w:r w:rsidRPr="00234736">
        <w:rPr>
          <w:rFonts w:ascii="Times New Roman" w:eastAsia="Times New Roman" w:hAnsi="Times New Roman" w:cs="Times New Roman"/>
          <w:i/>
          <w:iCs/>
          <w:lang w:val="en-GB" w:eastAsia="en-GB"/>
        </w:rPr>
        <w:t>the</w:t>
      </w:r>
      <w:proofErr w:type="gramEnd"/>
      <w:r w:rsidRPr="00234736">
        <w:rPr>
          <w:rFonts w:ascii="Times New Roman" w:eastAsia="Times New Roman" w:hAnsi="Times New Roman" w:cs="Times New Roman"/>
          <w:i/>
          <w:iCs/>
          <w:lang w:val="en-GB" w:eastAsia="en-GB"/>
        </w:rPr>
        <w:t xml:space="preserve"> Court considers that the thrust of his complaint is that he was punished for protesting, together with other participants in the non-violent direct action, against the government’s policies. The Court is therefore persuaded that the event constituted predominantly an expression, </w:t>
      </w:r>
      <w:proofErr w:type="gramStart"/>
      <w:r w:rsidRPr="00234736">
        <w:rPr>
          <w:rFonts w:ascii="Times New Roman" w:eastAsia="Times New Roman" w:hAnsi="Times New Roman" w:cs="Times New Roman"/>
          <w:i/>
          <w:iCs/>
          <w:lang w:val="en-GB" w:eastAsia="en-GB"/>
        </w:rPr>
        <w:t>all the more</w:t>
      </w:r>
      <w:proofErr w:type="gramEnd"/>
      <w:r w:rsidRPr="00234736">
        <w:rPr>
          <w:rFonts w:ascii="Times New Roman" w:eastAsia="Times New Roman" w:hAnsi="Times New Roman" w:cs="Times New Roman"/>
          <w:i/>
          <w:iCs/>
          <w:lang w:val="en-GB" w:eastAsia="en-GB"/>
        </w:rPr>
        <w:t xml:space="preserve"> so since it involved only four persons and lasted a very short time ... Moreover, since it was the result of a rather spontaneous decision … and lacked any prior advertisement, it is difficult to conceive that such an event could have generated the presence of further participants or the gathering of a significant crowd warranting specific measures on the part of the authorities”</w:t>
      </w:r>
    </w:p>
    <w:p w14:paraId="5E5CC5E6" w14:textId="77777777" w:rsidR="008C25EF" w:rsidRDefault="008C25EF" w:rsidP="00824073">
      <w:pPr>
        <w:spacing w:line="360" w:lineRule="auto"/>
        <w:jc w:val="both"/>
        <w:rPr>
          <w:rFonts w:ascii="Times New Roman" w:eastAsia="Times New Roman" w:hAnsi="Times New Roman" w:cs="Times New Roman"/>
          <w:lang w:val="en-GB" w:eastAsia="en-GB"/>
        </w:rPr>
      </w:pPr>
    </w:p>
    <w:p w14:paraId="7E898492" w14:textId="68C2C0CE" w:rsidR="008C25EF" w:rsidRPr="009A291E"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 xml:space="preserve">The </w:t>
      </w:r>
      <w:r w:rsidR="00BE40BB">
        <w:rPr>
          <w:rFonts w:ascii="Times New Roman" w:eastAsia="Times New Roman" w:hAnsi="Times New Roman" w:cs="Times New Roman"/>
          <w:lang w:val="en-GB" w:eastAsia="en-GB"/>
        </w:rPr>
        <w:t>E</w:t>
      </w:r>
      <w:r w:rsidRPr="008C25EF">
        <w:rPr>
          <w:rFonts w:ascii="Times New Roman" w:eastAsia="Times New Roman" w:hAnsi="Times New Roman" w:cs="Times New Roman"/>
          <w:lang w:val="en-GB" w:eastAsia="en-GB"/>
        </w:rPr>
        <w:t>Ct</w:t>
      </w:r>
      <w:r w:rsidR="00BE40BB">
        <w:rPr>
          <w:rFonts w:ascii="Times New Roman" w:eastAsia="Times New Roman" w:hAnsi="Times New Roman" w:cs="Times New Roman"/>
          <w:lang w:val="en-GB" w:eastAsia="en-GB"/>
        </w:rPr>
        <w:t>HR</w:t>
      </w:r>
      <w:r w:rsidRPr="008C25EF">
        <w:rPr>
          <w:rFonts w:ascii="Times New Roman" w:eastAsia="Times New Roman" w:hAnsi="Times New Roman" w:cs="Times New Roman"/>
          <w:lang w:val="en-GB" w:eastAsia="en-GB"/>
        </w:rPr>
        <w:t xml:space="preserve"> found an interference with Article 10,</w:t>
      </w:r>
      <w:r w:rsidR="00BE40BB">
        <w:rPr>
          <w:rFonts w:ascii="Times New Roman" w:eastAsia="Times New Roman" w:hAnsi="Times New Roman" w:cs="Times New Roman"/>
          <w:lang w:val="en-GB" w:eastAsia="en-GB"/>
        </w:rPr>
        <w:t xml:space="preserve"> by</w:t>
      </w:r>
      <w:r w:rsidRPr="008C25EF">
        <w:rPr>
          <w:rFonts w:ascii="Times New Roman" w:eastAsia="Times New Roman" w:hAnsi="Times New Roman" w:cs="Times New Roman"/>
          <w:lang w:val="en-GB" w:eastAsia="en-GB"/>
        </w:rPr>
        <w:t xml:space="preserve"> fail</w:t>
      </w:r>
      <w:r w:rsidR="00BE40BB">
        <w:rPr>
          <w:rFonts w:ascii="Times New Roman" w:eastAsia="Times New Roman" w:hAnsi="Times New Roman" w:cs="Times New Roman"/>
          <w:lang w:val="en-GB" w:eastAsia="en-GB"/>
        </w:rPr>
        <w:t>ur</w:t>
      </w:r>
      <w:r w:rsidRPr="008C25EF">
        <w:rPr>
          <w:rFonts w:ascii="Times New Roman" w:eastAsia="Times New Roman" w:hAnsi="Times New Roman" w:cs="Times New Roman"/>
          <w:lang w:val="en-GB" w:eastAsia="en-GB"/>
        </w:rPr>
        <w:t>e</w:t>
      </w:r>
      <w:r w:rsidR="00BE40BB">
        <w:rPr>
          <w:rFonts w:ascii="Times New Roman" w:eastAsia="Times New Roman" w:hAnsi="Times New Roman" w:cs="Times New Roman"/>
          <w:lang w:val="en-GB" w:eastAsia="en-GB"/>
        </w:rPr>
        <w:t xml:space="preserve"> of</w:t>
      </w:r>
      <w:r w:rsidRPr="008C25EF">
        <w:rPr>
          <w:rFonts w:ascii="Times New Roman" w:eastAsia="Times New Roman" w:hAnsi="Times New Roman" w:cs="Times New Roman"/>
          <w:lang w:val="en-GB" w:eastAsia="en-GB"/>
        </w:rPr>
        <w:t xml:space="preserve"> the necessity test under Article </w:t>
      </w:r>
      <w:r w:rsidRPr="009A291E">
        <w:rPr>
          <w:rFonts w:ascii="Times New Roman" w:eastAsia="Times New Roman" w:hAnsi="Times New Roman" w:cs="Times New Roman"/>
          <w:lang w:val="en-GB" w:eastAsia="en-GB"/>
        </w:rPr>
        <w:t>10(2)</w:t>
      </w:r>
      <w:r w:rsidR="00BE40BB" w:rsidRPr="009A291E">
        <w:rPr>
          <w:rFonts w:ascii="Times New Roman" w:eastAsia="Times New Roman" w:hAnsi="Times New Roman" w:cs="Times New Roman"/>
          <w:lang w:val="en-GB" w:eastAsia="en-GB"/>
        </w:rPr>
        <w:t xml:space="preserve">, </w:t>
      </w:r>
      <w:r w:rsidRPr="009A291E">
        <w:rPr>
          <w:rFonts w:ascii="Times New Roman" w:eastAsia="Times New Roman" w:hAnsi="Times New Roman" w:cs="Times New Roman"/>
          <w:lang w:val="en-GB" w:eastAsia="en-GB"/>
        </w:rPr>
        <w:t xml:space="preserve">interpreted </w:t>
      </w:r>
      <w:proofErr w:type="gramStart"/>
      <w:r w:rsidRPr="009A291E">
        <w:rPr>
          <w:rFonts w:ascii="Times New Roman" w:eastAsia="Times New Roman" w:hAnsi="Times New Roman" w:cs="Times New Roman"/>
          <w:lang w:val="en-GB" w:eastAsia="en-GB"/>
        </w:rPr>
        <w:t>in light of</w:t>
      </w:r>
      <w:proofErr w:type="gramEnd"/>
      <w:r w:rsidRPr="009A291E">
        <w:rPr>
          <w:rFonts w:ascii="Times New Roman" w:eastAsia="Times New Roman" w:hAnsi="Times New Roman" w:cs="Times New Roman"/>
          <w:lang w:val="en-GB" w:eastAsia="en-GB"/>
        </w:rPr>
        <w:t xml:space="preserve"> Article 11. It stated that where demonstrators do not engage in violence, authorities must show a degree of tolerance to peaceful gatherings</w:t>
      </w:r>
      <w:r w:rsidR="009A291E" w:rsidRPr="009A291E">
        <w:rPr>
          <w:rFonts w:ascii="Times New Roman" w:eastAsia="Times New Roman" w:hAnsi="Times New Roman" w:cs="Times New Roman"/>
          <w:lang w:val="en-GB" w:eastAsia="en-GB"/>
        </w:rPr>
        <w:t xml:space="preserve"> (at </w:t>
      </w:r>
      <w:r w:rsidR="009A291E" w:rsidRPr="009A291E">
        <w:rPr>
          <w:rFonts w:ascii="Times New Roman" w:hAnsi="Times New Roman" w:cs="Times New Roman"/>
        </w:rPr>
        <w:t>§95)</w:t>
      </w:r>
      <w:r w:rsidRPr="009A291E">
        <w:rPr>
          <w:rFonts w:ascii="Times New Roman" w:eastAsia="Times New Roman" w:hAnsi="Times New Roman" w:cs="Times New Roman"/>
          <w:lang w:val="en-GB" w:eastAsia="en-GB"/>
        </w:rPr>
        <w:t>:</w:t>
      </w:r>
    </w:p>
    <w:p w14:paraId="3466B8E3" w14:textId="77777777" w:rsidR="00BE40BB" w:rsidRPr="009A291E" w:rsidRDefault="00BE40BB" w:rsidP="00824073">
      <w:pPr>
        <w:pStyle w:val="ListParagraph"/>
        <w:spacing w:line="360" w:lineRule="auto"/>
        <w:jc w:val="both"/>
        <w:rPr>
          <w:rFonts w:ascii="Times New Roman" w:eastAsia="Times New Roman" w:hAnsi="Times New Roman" w:cs="Times New Roman"/>
          <w:i/>
          <w:iCs/>
          <w:lang w:val="en-GB" w:eastAsia="en-GB"/>
        </w:rPr>
      </w:pPr>
    </w:p>
    <w:p w14:paraId="71728A8A" w14:textId="77777777" w:rsidR="009A291E" w:rsidRPr="00234736" w:rsidRDefault="0029500E" w:rsidP="00234736">
      <w:pPr>
        <w:spacing w:line="360" w:lineRule="auto"/>
        <w:ind w:left="644"/>
        <w:jc w:val="both"/>
        <w:rPr>
          <w:rFonts w:ascii="Times New Roman" w:eastAsia="Times New Roman" w:hAnsi="Times New Roman" w:cs="Times New Roman"/>
          <w:i/>
          <w:iCs/>
          <w:lang w:val="en-GB" w:eastAsia="en-GB"/>
        </w:rPr>
      </w:pPr>
      <w:r w:rsidRPr="00234736">
        <w:rPr>
          <w:rFonts w:ascii="Times New Roman" w:eastAsia="Times New Roman" w:hAnsi="Times New Roman" w:cs="Times New Roman"/>
          <w:i/>
          <w:iCs/>
          <w:lang w:val="en-GB" w:eastAsia="en-GB"/>
        </w:rPr>
        <w:t xml:space="preserve">“The appropriate “degree of tolerance” cannot be defined </w:t>
      </w:r>
      <w:r w:rsidRPr="00234736">
        <w:rPr>
          <w:rFonts w:ascii="Times New Roman" w:eastAsia="Times New Roman" w:hAnsi="Times New Roman" w:cs="Times New Roman"/>
          <w:lang w:val="en-GB" w:eastAsia="en-GB"/>
        </w:rPr>
        <w:t xml:space="preserve">in </w:t>
      </w:r>
      <w:proofErr w:type="spellStart"/>
      <w:r w:rsidRPr="00234736">
        <w:rPr>
          <w:rFonts w:ascii="Times New Roman" w:eastAsia="Times New Roman" w:hAnsi="Times New Roman" w:cs="Times New Roman"/>
          <w:lang w:val="en-GB" w:eastAsia="en-GB"/>
        </w:rPr>
        <w:t>abstracto</w:t>
      </w:r>
      <w:proofErr w:type="spellEnd"/>
      <w:r w:rsidRPr="00234736">
        <w:rPr>
          <w:rFonts w:ascii="Times New Roman" w:eastAsia="Times New Roman" w:hAnsi="Times New Roman" w:cs="Times New Roman"/>
          <w:i/>
          <w:iCs/>
          <w:lang w:val="en-GB" w:eastAsia="en-GB"/>
        </w:rPr>
        <w:t xml:space="preserve">: the Court must look at the particular circumstances of the case and particularly the extent of the “disruption of ordinary life” since it is understood that any large-scale gathering in a public place inevitably creates inconvenience for the population or some disruption to ordinary life (see </w:t>
      </w:r>
      <w:proofErr w:type="spellStart"/>
      <w:r w:rsidRPr="00234736">
        <w:rPr>
          <w:rFonts w:ascii="Times New Roman" w:eastAsia="Times New Roman" w:hAnsi="Times New Roman" w:cs="Times New Roman"/>
          <w:lang w:val="en-GB" w:eastAsia="en-GB"/>
        </w:rPr>
        <w:t>Primov</w:t>
      </w:r>
      <w:proofErr w:type="spellEnd"/>
      <w:r w:rsidRPr="00234736">
        <w:rPr>
          <w:rFonts w:ascii="Times New Roman" w:eastAsia="Times New Roman" w:hAnsi="Times New Roman" w:cs="Times New Roman"/>
          <w:lang w:val="en-GB" w:eastAsia="en-GB"/>
        </w:rPr>
        <w:t xml:space="preserve"> and Others</w:t>
      </w:r>
      <w:r w:rsidRPr="00234736">
        <w:rPr>
          <w:rFonts w:ascii="Times New Roman" w:eastAsia="Times New Roman" w:hAnsi="Times New Roman" w:cs="Times New Roman"/>
          <w:i/>
          <w:iCs/>
          <w:lang w:val="en-GB" w:eastAsia="en-GB"/>
        </w:rPr>
        <w:t xml:space="preserve">, cited above, § 145, and </w:t>
      </w:r>
      <w:r w:rsidRPr="00234736">
        <w:rPr>
          <w:rFonts w:ascii="Times New Roman" w:eastAsia="Times New Roman" w:hAnsi="Times New Roman" w:cs="Times New Roman"/>
          <w:lang w:val="en-GB" w:eastAsia="en-GB"/>
        </w:rPr>
        <w:t>Novikova and Others</w:t>
      </w:r>
      <w:r w:rsidRPr="00234736">
        <w:rPr>
          <w:rFonts w:ascii="Times New Roman" w:eastAsia="Times New Roman" w:hAnsi="Times New Roman" w:cs="Times New Roman"/>
          <w:i/>
          <w:iCs/>
          <w:lang w:val="en-GB" w:eastAsia="en-GB"/>
        </w:rPr>
        <w:t>, cited above, § 165)”</w:t>
      </w:r>
      <w:r w:rsidRPr="00BE40BB">
        <w:rPr>
          <w:vertAlign w:val="superscript"/>
          <w:lang w:val="en-GB" w:eastAsia="en-GB"/>
        </w:rPr>
        <w:footnoteReference w:id="14"/>
      </w:r>
      <w:r w:rsidRPr="00234736">
        <w:rPr>
          <w:rFonts w:ascii="Times New Roman" w:eastAsia="Times New Roman" w:hAnsi="Times New Roman" w:cs="Times New Roman"/>
          <w:i/>
          <w:iCs/>
          <w:lang w:val="en-GB" w:eastAsia="en-GB"/>
        </w:rPr>
        <w:t xml:space="preserve"> </w:t>
      </w:r>
    </w:p>
    <w:p w14:paraId="57B9DEF5" w14:textId="77777777" w:rsidR="009A291E" w:rsidRPr="009A291E" w:rsidRDefault="009A291E" w:rsidP="009A291E">
      <w:pPr>
        <w:spacing w:line="360" w:lineRule="auto"/>
        <w:jc w:val="both"/>
        <w:rPr>
          <w:rFonts w:ascii="Times New Roman" w:eastAsia="Times New Roman" w:hAnsi="Times New Roman" w:cs="Times New Roman"/>
          <w:lang w:val="en-GB" w:eastAsia="en-GB"/>
        </w:rPr>
      </w:pPr>
    </w:p>
    <w:p w14:paraId="58323304" w14:textId="4D15E47B" w:rsidR="009A291E" w:rsidRPr="009A291E" w:rsidRDefault="0029500E" w:rsidP="009A291E">
      <w:pPr>
        <w:pStyle w:val="ListParagraph"/>
        <w:numPr>
          <w:ilvl w:val="0"/>
          <w:numId w:val="1"/>
        </w:numPr>
        <w:spacing w:line="360" w:lineRule="auto"/>
        <w:jc w:val="both"/>
        <w:rPr>
          <w:rFonts w:ascii="Times New Roman" w:eastAsia="Times New Roman" w:hAnsi="Times New Roman" w:cs="Times New Roman"/>
          <w:i/>
          <w:iCs/>
          <w:lang w:val="en-GB" w:eastAsia="en-GB"/>
        </w:rPr>
      </w:pPr>
      <w:r w:rsidRPr="009A291E">
        <w:rPr>
          <w:rFonts w:ascii="Times New Roman" w:eastAsia="Times New Roman" w:hAnsi="Times New Roman" w:cs="Times New Roman"/>
          <w:lang w:val="en-GB" w:eastAsia="en-GB"/>
        </w:rPr>
        <w:lastRenderedPageBreak/>
        <w:t xml:space="preserve">Notably, it found </w:t>
      </w:r>
      <w:r w:rsidR="00BE40BB" w:rsidRPr="009A291E">
        <w:rPr>
          <w:rFonts w:ascii="Times New Roman" w:eastAsia="Times New Roman" w:hAnsi="Times New Roman" w:cs="Times New Roman"/>
          <w:lang w:val="en-GB" w:eastAsia="en-GB"/>
        </w:rPr>
        <w:t xml:space="preserve">that </w:t>
      </w:r>
      <w:r w:rsidRPr="009A291E">
        <w:rPr>
          <w:rFonts w:ascii="Times New Roman" w:eastAsia="Times New Roman" w:hAnsi="Times New Roman" w:cs="Times New Roman"/>
          <w:lang w:val="en-GB" w:eastAsia="en-GB"/>
        </w:rPr>
        <w:t>the national court did not seek to a strike a balance between Article 10 on the one hand, and public order on the other, “</w:t>
      </w:r>
      <w:r w:rsidRPr="009A291E">
        <w:rPr>
          <w:rFonts w:ascii="Times New Roman" w:eastAsia="Times New Roman" w:hAnsi="Times New Roman" w:cs="Times New Roman"/>
          <w:i/>
          <w:iCs/>
          <w:lang w:val="en-GB" w:eastAsia="en-GB"/>
        </w:rPr>
        <w:t>giving the preponderant weight to the formal unlawfulness of the event in question</w:t>
      </w:r>
      <w:r w:rsidR="009A291E" w:rsidRPr="009A291E">
        <w:rPr>
          <w:rFonts w:ascii="Times New Roman" w:eastAsia="Times New Roman" w:hAnsi="Times New Roman" w:cs="Times New Roman"/>
          <w:lang w:val="en-GB" w:eastAsia="en-GB"/>
        </w:rPr>
        <w:t xml:space="preserve">” </w:t>
      </w:r>
      <w:r w:rsidR="009A291E">
        <w:rPr>
          <w:rFonts w:ascii="Times New Roman" w:eastAsia="Times New Roman" w:hAnsi="Times New Roman" w:cs="Times New Roman"/>
          <w:lang w:val="en-GB" w:eastAsia="en-GB"/>
        </w:rPr>
        <w:t>(</w:t>
      </w:r>
      <w:r w:rsidR="009A291E" w:rsidRPr="009A291E">
        <w:rPr>
          <w:rFonts w:ascii="Times New Roman" w:hAnsi="Times New Roman" w:cs="Times New Roman"/>
        </w:rPr>
        <w:t>§</w:t>
      </w:r>
      <w:r w:rsidR="009A291E">
        <w:rPr>
          <w:rFonts w:ascii="Times New Roman" w:hAnsi="Times New Roman" w:cs="Times New Roman"/>
        </w:rPr>
        <w:t>98).</w:t>
      </w:r>
    </w:p>
    <w:p w14:paraId="65FFAEDC" w14:textId="77777777" w:rsidR="009A291E" w:rsidRPr="009A291E" w:rsidRDefault="009A291E" w:rsidP="009A291E">
      <w:pPr>
        <w:pStyle w:val="ListParagraph"/>
        <w:spacing w:line="360" w:lineRule="auto"/>
        <w:ind w:left="644"/>
        <w:jc w:val="both"/>
        <w:rPr>
          <w:rFonts w:ascii="Times New Roman" w:eastAsia="Times New Roman" w:hAnsi="Times New Roman" w:cs="Times New Roman"/>
          <w:i/>
          <w:iCs/>
          <w:lang w:val="en-GB" w:eastAsia="en-GB"/>
        </w:rPr>
      </w:pPr>
    </w:p>
    <w:p w14:paraId="3F8B6F8E" w14:textId="77777777" w:rsidR="009A291E" w:rsidRPr="009A291E" w:rsidRDefault="0029500E"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9A291E">
        <w:rPr>
          <w:rFonts w:ascii="Times New Roman" w:eastAsia="Times New Roman" w:hAnsi="Times New Roman" w:cs="Times New Roman"/>
          <w:lang w:val="en-GB" w:eastAsia="en-GB"/>
        </w:rPr>
        <w:t xml:space="preserve">The </w:t>
      </w:r>
      <w:r w:rsidR="00BE40BB" w:rsidRPr="009A291E">
        <w:rPr>
          <w:rFonts w:ascii="Times New Roman" w:eastAsia="Times New Roman" w:hAnsi="Times New Roman" w:cs="Times New Roman"/>
          <w:lang w:val="en-GB" w:eastAsia="en-GB"/>
        </w:rPr>
        <w:t>E</w:t>
      </w:r>
      <w:r w:rsidRPr="009A291E">
        <w:rPr>
          <w:rFonts w:ascii="Times New Roman" w:eastAsia="Times New Roman" w:hAnsi="Times New Roman" w:cs="Times New Roman"/>
          <w:lang w:val="en-GB" w:eastAsia="en-GB"/>
        </w:rPr>
        <w:t>Ct</w:t>
      </w:r>
      <w:r w:rsidR="00BE40BB" w:rsidRPr="009A291E">
        <w:rPr>
          <w:rFonts w:ascii="Times New Roman" w:eastAsia="Times New Roman" w:hAnsi="Times New Roman" w:cs="Times New Roman"/>
          <w:lang w:val="en-GB" w:eastAsia="en-GB"/>
        </w:rPr>
        <w:t>HR</w:t>
      </w:r>
      <w:r w:rsidRPr="009A291E">
        <w:rPr>
          <w:rFonts w:ascii="Times New Roman" w:eastAsia="Times New Roman" w:hAnsi="Times New Roman" w:cs="Times New Roman"/>
          <w:lang w:val="en-GB" w:eastAsia="en-GB"/>
        </w:rPr>
        <w:t xml:space="preserve"> also stated: </w:t>
      </w:r>
    </w:p>
    <w:p w14:paraId="63436643" w14:textId="77777777" w:rsidR="009A291E" w:rsidRPr="009A291E" w:rsidRDefault="009A291E" w:rsidP="009A291E">
      <w:pPr>
        <w:pStyle w:val="ListParagraph"/>
        <w:rPr>
          <w:rFonts w:ascii="Times New Roman" w:eastAsia="Times New Roman" w:hAnsi="Times New Roman" w:cs="Times New Roman"/>
          <w:lang w:val="en-GB" w:eastAsia="en-GB"/>
        </w:rPr>
      </w:pPr>
    </w:p>
    <w:p w14:paraId="36E219F7" w14:textId="221FF875" w:rsidR="008C25EF" w:rsidRPr="00234736" w:rsidRDefault="0029500E" w:rsidP="00234736">
      <w:pPr>
        <w:spacing w:line="360" w:lineRule="auto"/>
        <w:ind w:left="644"/>
        <w:jc w:val="both"/>
        <w:rPr>
          <w:rFonts w:ascii="Times New Roman" w:eastAsia="Times New Roman" w:hAnsi="Times New Roman" w:cs="Times New Roman"/>
          <w:i/>
          <w:iCs/>
          <w:color w:val="212121"/>
          <w:lang w:eastAsia="en-GB"/>
        </w:rPr>
      </w:pPr>
      <w:r w:rsidRPr="00234736">
        <w:rPr>
          <w:rFonts w:ascii="Times New Roman" w:eastAsia="Times New Roman" w:hAnsi="Times New Roman" w:cs="Times New Roman"/>
          <w:lang w:val="en-GB" w:eastAsia="en-GB"/>
        </w:rPr>
        <w:t>“</w:t>
      </w:r>
      <w:proofErr w:type="gramStart"/>
      <w:r w:rsidRPr="00234736">
        <w:rPr>
          <w:rFonts w:ascii="Times New Roman" w:eastAsia="Times New Roman" w:hAnsi="Times New Roman" w:cs="Times New Roman"/>
          <w:i/>
          <w:iCs/>
          <w:lang w:val="en-GB" w:eastAsia="en-GB"/>
        </w:rPr>
        <w:t>the</w:t>
      </w:r>
      <w:proofErr w:type="gramEnd"/>
      <w:r w:rsidRPr="00234736">
        <w:rPr>
          <w:rFonts w:ascii="Times New Roman" w:eastAsia="Times New Roman" w:hAnsi="Times New Roman" w:cs="Times New Roman"/>
          <w:i/>
          <w:iCs/>
          <w:lang w:val="en-GB" w:eastAsia="en-GB"/>
        </w:rPr>
        <w:t xml:space="preserve"> fine imposed on the applicant for taking part in the event in question was the minimum statutory amount envisaged for the impugned contravention and the applicant did not argue or submit evidence that paying the fine was beyond his financial means. Nevertheless … the imposition of a sanction, administrative or otherwise, however lenient, on the author of an expression which qualifies as political … can have an undesirable chilling effect on public speech</w:t>
      </w:r>
      <w:r w:rsidRPr="00234736">
        <w:rPr>
          <w:rFonts w:ascii="Times New Roman" w:eastAsia="Times New Roman" w:hAnsi="Times New Roman" w:cs="Times New Roman"/>
          <w:lang w:val="en-GB" w:eastAsia="en-GB"/>
        </w:rPr>
        <w:t>”</w:t>
      </w:r>
      <w:r w:rsidR="009A291E" w:rsidRPr="00234736">
        <w:rPr>
          <w:rFonts w:ascii="Times New Roman" w:eastAsia="Times New Roman" w:hAnsi="Times New Roman" w:cs="Times New Roman"/>
          <w:lang w:val="en-GB" w:eastAsia="en-GB"/>
        </w:rPr>
        <w:t xml:space="preserve"> (</w:t>
      </w:r>
      <w:r w:rsidR="009A291E" w:rsidRPr="00234736">
        <w:rPr>
          <w:rFonts w:ascii="Times New Roman" w:hAnsi="Times New Roman" w:cs="Times New Roman"/>
        </w:rPr>
        <w:t>§101)</w:t>
      </w:r>
      <w:r w:rsidRPr="00234736">
        <w:rPr>
          <w:rFonts w:ascii="Times New Roman" w:eastAsia="Times New Roman" w:hAnsi="Times New Roman" w:cs="Times New Roman"/>
          <w:lang w:val="en-GB" w:eastAsia="en-GB"/>
        </w:rPr>
        <w:t xml:space="preserve">. </w:t>
      </w:r>
    </w:p>
    <w:p w14:paraId="0BEF14E6"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48C9680B" w14:textId="12A75A4D" w:rsidR="008C25EF" w:rsidRPr="008C25EF" w:rsidRDefault="00B32E9F"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val="en-GB" w:eastAsia="en-GB"/>
        </w:rPr>
        <w:t>The imposition of any sanction</w:t>
      </w:r>
      <w:r w:rsidR="00781DC8" w:rsidRPr="008C25EF">
        <w:rPr>
          <w:rFonts w:ascii="Times New Roman" w:eastAsia="Times New Roman" w:hAnsi="Times New Roman" w:cs="Times New Roman"/>
          <w:lang w:val="en-GB" w:eastAsia="en-GB"/>
        </w:rPr>
        <w:t>, no matter how minimal,</w:t>
      </w:r>
      <w:r w:rsidR="00F93A14" w:rsidRPr="008C25EF">
        <w:rPr>
          <w:rFonts w:ascii="Times New Roman" w:eastAsia="Times New Roman" w:hAnsi="Times New Roman" w:cs="Times New Roman"/>
          <w:lang w:val="en-GB" w:eastAsia="en-GB"/>
        </w:rPr>
        <w:t xml:space="preserve"> is therefore relevant to the Court’s overall consideration of the protections afforded to the Appellant under Articles 10 and 11 </w:t>
      </w:r>
      <w:r w:rsidR="00BE40BB">
        <w:rPr>
          <w:rFonts w:ascii="Times New Roman" w:eastAsia="Times New Roman" w:hAnsi="Times New Roman" w:cs="Times New Roman"/>
          <w:lang w:val="en-GB" w:eastAsia="en-GB"/>
        </w:rPr>
        <w:t xml:space="preserve">of the </w:t>
      </w:r>
      <w:r w:rsidR="00F93A14" w:rsidRPr="008C25EF">
        <w:rPr>
          <w:rFonts w:ascii="Times New Roman" w:eastAsia="Times New Roman" w:hAnsi="Times New Roman" w:cs="Times New Roman"/>
          <w:lang w:val="en-GB" w:eastAsia="en-GB"/>
        </w:rPr>
        <w:t xml:space="preserve">ECHR. </w:t>
      </w:r>
    </w:p>
    <w:p w14:paraId="71A93C4B" w14:textId="77777777" w:rsidR="008C25EF" w:rsidRPr="008C25EF" w:rsidRDefault="008C25EF" w:rsidP="00824073">
      <w:pPr>
        <w:pStyle w:val="ListParagraph"/>
        <w:spacing w:line="360" w:lineRule="auto"/>
        <w:rPr>
          <w:rFonts w:ascii="Times New Roman" w:eastAsia="Times New Roman" w:hAnsi="Times New Roman" w:cs="Times New Roman"/>
          <w:lang w:eastAsia="en-GB"/>
        </w:rPr>
      </w:pPr>
    </w:p>
    <w:p w14:paraId="793BACEF" w14:textId="28F1197D" w:rsidR="008603DB" w:rsidRPr="008603DB" w:rsidRDefault="00F93A14"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eastAsia="Times New Roman" w:hAnsi="Times New Roman" w:cs="Times New Roman"/>
          <w:lang w:eastAsia="en-GB"/>
        </w:rPr>
        <w:t xml:space="preserve">In the context of the present </w:t>
      </w:r>
      <w:r w:rsidR="00BE40BB">
        <w:rPr>
          <w:rFonts w:ascii="Times New Roman" w:eastAsia="Times New Roman" w:hAnsi="Times New Roman" w:cs="Times New Roman"/>
          <w:lang w:eastAsia="en-GB"/>
        </w:rPr>
        <w:t>a</w:t>
      </w:r>
      <w:r w:rsidRPr="008C25EF">
        <w:rPr>
          <w:rFonts w:ascii="Times New Roman" w:eastAsia="Times New Roman" w:hAnsi="Times New Roman" w:cs="Times New Roman"/>
          <w:lang w:eastAsia="en-GB"/>
        </w:rPr>
        <w:t xml:space="preserve">ppeal, the </w:t>
      </w:r>
      <w:proofErr w:type="spellStart"/>
      <w:r w:rsidR="004D460C" w:rsidRPr="008C25EF">
        <w:rPr>
          <w:rFonts w:ascii="Times New Roman" w:eastAsia="Times New Roman" w:hAnsi="Times New Roman" w:cs="Times New Roman"/>
          <w:b/>
          <w:bCs/>
          <w:i/>
          <w:iCs/>
          <w:color w:val="212121"/>
          <w:lang w:eastAsia="en-GB"/>
        </w:rPr>
        <w:t>Perinçek</w:t>
      </w:r>
      <w:proofErr w:type="spellEnd"/>
      <w:r w:rsidR="004D460C" w:rsidRPr="008C25EF">
        <w:rPr>
          <w:rFonts w:ascii="Times New Roman" w:eastAsia="Times New Roman" w:hAnsi="Times New Roman" w:cs="Times New Roman"/>
          <w:b/>
          <w:bCs/>
          <w:i/>
          <w:iCs/>
          <w:color w:val="212121"/>
          <w:lang w:eastAsia="en-GB"/>
        </w:rPr>
        <w:t xml:space="preserve"> </w:t>
      </w:r>
      <w:r w:rsidR="004D460C" w:rsidRPr="008C25EF">
        <w:rPr>
          <w:rFonts w:ascii="Times New Roman" w:eastAsia="Times New Roman" w:hAnsi="Times New Roman" w:cs="Times New Roman"/>
          <w:color w:val="212121"/>
          <w:lang w:eastAsia="en-GB"/>
        </w:rPr>
        <w:t xml:space="preserve">case is perhaps of greatest significance in terms of its application. </w:t>
      </w:r>
      <w:r w:rsidR="00234736">
        <w:rPr>
          <w:rFonts w:ascii="Times New Roman" w:eastAsia="Times New Roman" w:hAnsi="Times New Roman" w:cs="Times New Roman"/>
          <w:color w:val="212121"/>
          <w:lang w:eastAsia="en-GB"/>
        </w:rPr>
        <w:t>The ECtHR stated that</w:t>
      </w:r>
      <w:r w:rsidR="004D460C" w:rsidRPr="008C25EF">
        <w:rPr>
          <w:rFonts w:ascii="Times New Roman" w:eastAsia="Times New Roman" w:hAnsi="Times New Roman" w:cs="Times New Roman"/>
          <w:color w:val="212121"/>
          <w:lang w:eastAsia="en-GB"/>
        </w:rPr>
        <w:t xml:space="preserve"> the protection of the rights protected by Article 10 (read in conjunction with Article 11) require that the </w:t>
      </w:r>
      <w:r w:rsidR="00245DA0" w:rsidRPr="008C25EF">
        <w:rPr>
          <w:rFonts w:ascii="Times New Roman" w:eastAsia="Times New Roman" w:hAnsi="Times New Roman" w:cs="Times New Roman"/>
          <w:color w:val="212121"/>
          <w:lang w:eastAsia="en-GB"/>
        </w:rPr>
        <w:t xml:space="preserve">domestic Courts have </w:t>
      </w:r>
      <w:r w:rsidR="002632BC" w:rsidRPr="008C25EF">
        <w:rPr>
          <w:rFonts w:ascii="Times New Roman" w:eastAsia="Times New Roman" w:hAnsi="Times New Roman" w:cs="Times New Roman"/>
          <w:color w:val="212121"/>
          <w:lang w:eastAsia="en-GB"/>
        </w:rPr>
        <w:t>engaged in a detailed analysis of the conduct</w:t>
      </w:r>
      <w:r w:rsidR="00267530" w:rsidRPr="008C25EF">
        <w:rPr>
          <w:rFonts w:ascii="Times New Roman" w:eastAsia="Times New Roman" w:hAnsi="Times New Roman" w:cs="Times New Roman"/>
          <w:color w:val="212121"/>
          <w:lang w:eastAsia="en-GB"/>
        </w:rPr>
        <w:t xml:space="preserve"> </w:t>
      </w:r>
      <w:proofErr w:type="gramStart"/>
      <w:r w:rsidR="00267530" w:rsidRPr="008C25EF">
        <w:rPr>
          <w:rFonts w:ascii="Times New Roman" w:eastAsia="Times New Roman" w:hAnsi="Times New Roman" w:cs="Times New Roman"/>
          <w:color w:val="212121"/>
          <w:lang w:eastAsia="en-GB"/>
        </w:rPr>
        <w:t>in light of</w:t>
      </w:r>
      <w:proofErr w:type="gramEnd"/>
      <w:r w:rsidR="00267530" w:rsidRPr="008C25EF">
        <w:rPr>
          <w:rFonts w:ascii="Times New Roman" w:eastAsia="Times New Roman" w:hAnsi="Times New Roman" w:cs="Times New Roman"/>
          <w:color w:val="212121"/>
          <w:lang w:eastAsia="en-GB"/>
        </w:rPr>
        <w:t xml:space="preserve"> the </w:t>
      </w:r>
      <w:r w:rsidR="00BE40BB">
        <w:rPr>
          <w:rFonts w:ascii="Times New Roman" w:eastAsia="Times New Roman" w:hAnsi="Times New Roman" w:cs="Times New Roman"/>
          <w:color w:val="212121"/>
          <w:lang w:eastAsia="en-GB"/>
        </w:rPr>
        <w:t>E</w:t>
      </w:r>
      <w:r w:rsidR="00267530" w:rsidRPr="008C25EF">
        <w:rPr>
          <w:rFonts w:ascii="Times New Roman" w:eastAsia="Times New Roman" w:hAnsi="Times New Roman" w:cs="Times New Roman"/>
          <w:color w:val="212121"/>
          <w:lang w:eastAsia="en-GB"/>
        </w:rPr>
        <w:t>C</w:t>
      </w:r>
      <w:r w:rsidR="00BE40BB">
        <w:rPr>
          <w:rFonts w:ascii="Times New Roman" w:eastAsia="Times New Roman" w:hAnsi="Times New Roman" w:cs="Times New Roman"/>
          <w:color w:val="212121"/>
          <w:lang w:eastAsia="en-GB"/>
        </w:rPr>
        <w:t>HR</w:t>
      </w:r>
      <w:r w:rsidR="002632BC" w:rsidRPr="008C25EF">
        <w:rPr>
          <w:rFonts w:ascii="Times New Roman" w:eastAsia="Times New Roman" w:hAnsi="Times New Roman" w:cs="Times New Roman"/>
          <w:color w:val="212121"/>
          <w:lang w:eastAsia="en-GB"/>
        </w:rPr>
        <w:t>. This includes an analysis of</w:t>
      </w:r>
      <w:r w:rsidR="00267530" w:rsidRPr="008C25EF">
        <w:rPr>
          <w:rFonts w:ascii="Times New Roman" w:eastAsia="Times New Roman" w:hAnsi="Times New Roman" w:cs="Times New Roman"/>
          <w:color w:val="212121"/>
          <w:lang w:eastAsia="en-GB"/>
        </w:rPr>
        <w:t xml:space="preserve"> </w:t>
      </w:r>
      <w:r w:rsidR="002632BC" w:rsidRPr="008C25EF">
        <w:rPr>
          <w:rFonts w:ascii="Times New Roman" w:eastAsia="Times New Roman" w:hAnsi="Times New Roman" w:cs="Times New Roman"/>
          <w:color w:val="212121"/>
          <w:lang w:eastAsia="en-GB"/>
        </w:rPr>
        <w:t xml:space="preserve">the </w:t>
      </w:r>
      <w:r w:rsidR="00A33973" w:rsidRPr="008C25EF">
        <w:rPr>
          <w:rFonts w:ascii="Times New Roman" w:eastAsia="Times New Roman" w:hAnsi="Times New Roman" w:cs="Times New Roman"/>
          <w:color w:val="212121"/>
          <w:lang w:eastAsia="en-GB"/>
        </w:rPr>
        <w:t>proportionality</w:t>
      </w:r>
      <w:r w:rsidR="002632BC" w:rsidRPr="008C25EF">
        <w:rPr>
          <w:rFonts w:ascii="Times New Roman" w:eastAsia="Times New Roman" w:hAnsi="Times New Roman" w:cs="Times New Roman"/>
          <w:color w:val="212121"/>
          <w:lang w:eastAsia="en-GB"/>
        </w:rPr>
        <w:t xml:space="preserve"> </w:t>
      </w:r>
      <w:r w:rsidR="00267530" w:rsidRPr="008C25EF">
        <w:rPr>
          <w:rFonts w:ascii="Times New Roman" w:eastAsia="Times New Roman" w:hAnsi="Times New Roman" w:cs="Times New Roman"/>
          <w:color w:val="212121"/>
          <w:lang w:eastAsia="en-GB"/>
        </w:rPr>
        <w:t>of any interference with the right</w:t>
      </w:r>
      <w:r w:rsidR="009A291E">
        <w:rPr>
          <w:rFonts w:ascii="Times New Roman" w:eastAsia="Times New Roman" w:hAnsi="Times New Roman" w:cs="Times New Roman"/>
          <w:color w:val="212121"/>
          <w:lang w:eastAsia="en-GB"/>
        </w:rPr>
        <w:t>,</w:t>
      </w:r>
      <w:r w:rsidR="00267530" w:rsidRPr="008C25EF">
        <w:rPr>
          <w:rFonts w:ascii="Times New Roman" w:eastAsia="Times New Roman" w:hAnsi="Times New Roman" w:cs="Times New Roman"/>
          <w:color w:val="212121"/>
          <w:lang w:eastAsia="en-GB"/>
        </w:rPr>
        <w:t xml:space="preserve"> and the extent to which </w:t>
      </w:r>
      <w:r w:rsidR="009F22B8" w:rsidRPr="008C25EF">
        <w:rPr>
          <w:rFonts w:ascii="Times New Roman" w:eastAsia="Times New Roman" w:hAnsi="Times New Roman" w:cs="Times New Roman"/>
          <w:color w:val="212121"/>
          <w:lang w:eastAsia="en-GB"/>
        </w:rPr>
        <w:t>restrictions are necessary in a democratic society.</w:t>
      </w:r>
    </w:p>
    <w:p w14:paraId="016638A6" w14:textId="77777777" w:rsidR="008603DB" w:rsidRPr="008603DB" w:rsidRDefault="008603DB" w:rsidP="00824073">
      <w:pPr>
        <w:pStyle w:val="ListParagraph"/>
        <w:spacing w:line="360" w:lineRule="auto"/>
        <w:rPr>
          <w:rFonts w:ascii="Times New Roman" w:eastAsia="Times New Roman" w:hAnsi="Times New Roman" w:cs="Times New Roman"/>
          <w:color w:val="212121"/>
          <w:lang w:eastAsia="en-GB"/>
        </w:rPr>
      </w:pPr>
    </w:p>
    <w:p w14:paraId="74E3C75E" w14:textId="446B9305" w:rsidR="008C25EF" w:rsidRPr="009A291E" w:rsidRDefault="009A291E" w:rsidP="009A291E">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eastAsia="Times New Roman" w:hAnsi="Times New Roman" w:cs="Times New Roman"/>
          <w:color w:val="212121"/>
          <w:lang w:eastAsia="en-GB"/>
        </w:rPr>
        <w:t xml:space="preserve">The United Kingdom Supreme Court has grappled with the implications of the </w:t>
      </w:r>
      <w:r w:rsidR="008603DB">
        <w:rPr>
          <w:rFonts w:ascii="Times New Roman" w:eastAsia="Times New Roman" w:hAnsi="Times New Roman" w:cs="Times New Roman"/>
          <w:color w:val="212121"/>
          <w:lang w:eastAsia="en-GB"/>
        </w:rPr>
        <w:t xml:space="preserve">principle in </w:t>
      </w:r>
      <w:proofErr w:type="spellStart"/>
      <w:r w:rsidR="008603DB" w:rsidRPr="008C25EF">
        <w:rPr>
          <w:rFonts w:ascii="Times New Roman" w:eastAsia="Times New Roman" w:hAnsi="Times New Roman" w:cs="Times New Roman"/>
          <w:b/>
          <w:bCs/>
          <w:i/>
          <w:iCs/>
          <w:color w:val="212121"/>
          <w:lang w:eastAsia="en-GB"/>
        </w:rPr>
        <w:t>Perinçek</w:t>
      </w:r>
      <w:proofErr w:type="spellEnd"/>
      <w:r>
        <w:rPr>
          <w:rFonts w:ascii="Times New Roman" w:eastAsia="Times New Roman" w:hAnsi="Times New Roman" w:cs="Times New Roman"/>
          <w:color w:val="212121"/>
          <w:lang w:eastAsia="en-GB"/>
        </w:rPr>
        <w:t xml:space="preserve">, beginning with </w:t>
      </w:r>
      <w:r w:rsidR="008603DB">
        <w:rPr>
          <w:rFonts w:ascii="Times New Roman" w:eastAsia="Times New Roman" w:hAnsi="Times New Roman" w:cs="Times New Roman"/>
          <w:color w:val="212121"/>
          <w:lang w:eastAsia="en-GB"/>
        </w:rPr>
        <w:t xml:space="preserve">the case of </w:t>
      </w:r>
      <w:r w:rsidR="008603DB" w:rsidRPr="008603DB">
        <w:rPr>
          <w:rFonts w:ascii="Times New Roman" w:eastAsia="Times New Roman" w:hAnsi="Times New Roman" w:cs="Times New Roman"/>
          <w:b/>
          <w:bCs/>
          <w:i/>
          <w:iCs/>
          <w:color w:val="212121"/>
          <w:lang w:eastAsia="en-GB"/>
        </w:rPr>
        <w:t>DPP v. Ziegler</w:t>
      </w:r>
      <w:r w:rsidR="008603DB">
        <w:rPr>
          <w:rFonts w:ascii="Times New Roman" w:eastAsia="Times New Roman" w:hAnsi="Times New Roman" w:cs="Times New Roman"/>
          <w:color w:val="212121"/>
          <w:lang w:eastAsia="en-GB"/>
        </w:rPr>
        <w:t xml:space="preserve"> and </w:t>
      </w:r>
      <w:r>
        <w:rPr>
          <w:rFonts w:ascii="Times New Roman" w:eastAsia="Times New Roman" w:hAnsi="Times New Roman" w:cs="Times New Roman"/>
          <w:color w:val="212121"/>
          <w:lang w:eastAsia="en-GB"/>
        </w:rPr>
        <w:t xml:space="preserve">then in a series of </w:t>
      </w:r>
      <w:r w:rsidR="008603DB">
        <w:rPr>
          <w:rFonts w:ascii="Times New Roman" w:eastAsia="Times New Roman" w:hAnsi="Times New Roman" w:cs="Times New Roman"/>
          <w:color w:val="212121"/>
          <w:lang w:eastAsia="en-GB"/>
        </w:rPr>
        <w:t>subsequent cases</w:t>
      </w:r>
      <w:r>
        <w:rPr>
          <w:rFonts w:ascii="Times New Roman" w:eastAsia="Times New Roman" w:hAnsi="Times New Roman" w:cs="Times New Roman"/>
          <w:color w:val="212121"/>
          <w:lang w:eastAsia="en-GB"/>
        </w:rPr>
        <w:t xml:space="preserve">, which are </w:t>
      </w:r>
      <w:r w:rsidR="008603DB">
        <w:rPr>
          <w:rFonts w:ascii="Times New Roman" w:eastAsia="Times New Roman" w:hAnsi="Times New Roman" w:cs="Times New Roman"/>
          <w:color w:val="212121"/>
          <w:lang w:eastAsia="en-GB"/>
        </w:rPr>
        <w:t>referred to in this Court’s Statement of Case</w:t>
      </w:r>
      <w:r>
        <w:rPr>
          <w:rFonts w:ascii="Times New Roman" w:eastAsia="Times New Roman" w:hAnsi="Times New Roman" w:cs="Times New Roman"/>
          <w:color w:val="212121"/>
          <w:lang w:eastAsia="en-GB"/>
        </w:rPr>
        <w:t xml:space="preserve">. The approach is the subject of a critique </w:t>
      </w:r>
      <w:r w:rsidR="008603DB">
        <w:rPr>
          <w:rFonts w:ascii="Times New Roman" w:eastAsia="Times New Roman" w:hAnsi="Times New Roman" w:cs="Times New Roman"/>
          <w:color w:val="212121"/>
          <w:lang w:eastAsia="en-GB"/>
        </w:rPr>
        <w:t>by Richard Martin in “</w:t>
      </w:r>
      <w:r w:rsidR="008603DB" w:rsidRPr="008603DB">
        <w:rPr>
          <w:rFonts w:ascii="Times New Roman" w:eastAsia="Times New Roman" w:hAnsi="Times New Roman" w:cs="Times New Roman"/>
          <w:i/>
          <w:iCs/>
          <w:color w:val="212121"/>
          <w:lang w:eastAsia="en-GB"/>
        </w:rPr>
        <w:t>Convicting Peaceful Protestors: Proportionality’s Proper Place at Criminal Trial</w:t>
      </w:r>
      <w:r w:rsidR="008603DB">
        <w:rPr>
          <w:rFonts w:ascii="Times New Roman" w:eastAsia="Times New Roman" w:hAnsi="Times New Roman" w:cs="Times New Roman"/>
          <w:color w:val="212121"/>
          <w:lang w:eastAsia="en-GB"/>
        </w:rPr>
        <w:t>” [2024] 44(2)</w:t>
      </w:r>
      <w:r w:rsidR="00234736">
        <w:rPr>
          <w:rFonts w:ascii="Times New Roman" w:eastAsia="Times New Roman" w:hAnsi="Times New Roman" w:cs="Times New Roman"/>
          <w:color w:val="212121"/>
          <w:lang w:eastAsia="en-GB"/>
        </w:rPr>
        <w:t>,</w:t>
      </w:r>
      <w:r w:rsidR="008603DB">
        <w:rPr>
          <w:rFonts w:ascii="Times New Roman" w:eastAsia="Times New Roman" w:hAnsi="Times New Roman" w:cs="Times New Roman"/>
          <w:color w:val="212121"/>
          <w:lang w:eastAsia="en-GB"/>
        </w:rPr>
        <w:t xml:space="preserve"> Oxford Journal of Legal </w:t>
      </w:r>
      <w:proofErr w:type="gramStart"/>
      <w:r w:rsidR="008603DB">
        <w:rPr>
          <w:rFonts w:ascii="Times New Roman" w:eastAsia="Times New Roman" w:hAnsi="Times New Roman" w:cs="Times New Roman"/>
          <w:color w:val="212121"/>
          <w:lang w:eastAsia="en-GB"/>
        </w:rPr>
        <w:t>Studies,  pp.</w:t>
      </w:r>
      <w:proofErr w:type="gramEnd"/>
      <w:r w:rsidR="008603DB">
        <w:rPr>
          <w:rFonts w:ascii="Times New Roman" w:eastAsia="Times New Roman" w:hAnsi="Times New Roman" w:cs="Times New Roman"/>
          <w:color w:val="212121"/>
          <w:lang w:eastAsia="en-GB"/>
        </w:rPr>
        <w:t xml:space="preserve">342-375, who suggests that the “offence-centric’ approach adopted </w:t>
      </w:r>
      <w:r>
        <w:rPr>
          <w:rFonts w:ascii="Times New Roman" w:eastAsia="Times New Roman" w:hAnsi="Times New Roman" w:cs="Times New Roman"/>
          <w:color w:val="212121"/>
          <w:lang w:eastAsia="en-GB"/>
        </w:rPr>
        <w:t>in the U.K.</w:t>
      </w:r>
      <w:r w:rsidR="008603DB">
        <w:rPr>
          <w:rFonts w:ascii="Times New Roman" w:eastAsia="Times New Roman" w:hAnsi="Times New Roman" w:cs="Times New Roman"/>
          <w:color w:val="212121"/>
          <w:lang w:eastAsia="en-GB"/>
        </w:rPr>
        <w:t xml:space="preserve"> puts their domestic courts at odds with Strasbourg authority.</w:t>
      </w:r>
    </w:p>
    <w:p w14:paraId="5BAB72B1" w14:textId="6D55F763" w:rsidR="008C25EF" w:rsidRPr="00A23302" w:rsidRDefault="00A23302" w:rsidP="00A23302">
      <w:pPr>
        <w:pStyle w:val="Heading2"/>
        <w:rPr>
          <w:rFonts w:eastAsia="Times New Roman"/>
          <w:i/>
          <w:iCs/>
          <w:color w:val="212121"/>
          <w:lang w:eastAsia="en-GB"/>
        </w:rPr>
      </w:pPr>
      <w:r>
        <w:rPr>
          <w:rFonts w:eastAsia="Times New Roman"/>
          <w:lang w:eastAsia="en-GB"/>
        </w:rPr>
        <w:t xml:space="preserve">A. </w:t>
      </w:r>
      <w:r w:rsidR="00DB532E" w:rsidRPr="00A23302">
        <w:rPr>
          <w:rFonts w:eastAsia="Times New Roman"/>
          <w:lang w:eastAsia="en-GB"/>
        </w:rPr>
        <w:t xml:space="preserve">Defining the parameters of the defence of </w:t>
      </w:r>
      <w:r w:rsidR="008C25EF" w:rsidRPr="00A23302">
        <w:rPr>
          <w:rFonts w:eastAsia="Times New Roman"/>
          <w:lang w:eastAsia="en-GB"/>
        </w:rPr>
        <w:t>n</w:t>
      </w:r>
      <w:r w:rsidR="00DB532E" w:rsidRPr="00A23302">
        <w:rPr>
          <w:rFonts w:eastAsia="Times New Roman"/>
          <w:lang w:eastAsia="en-GB"/>
        </w:rPr>
        <w:t>ecessity</w:t>
      </w:r>
    </w:p>
    <w:p w14:paraId="701262F3" w14:textId="77777777" w:rsidR="008C25EF" w:rsidRDefault="008C25EF" w:rsidP="00824073">
      <w:pPr>
        <w:spacing w:line="360" w:lineRule="auto"/>
        <w:jc w:val="both"/>
        <w:rPr>
          <w:rFonts w:ascii="Times New Roman" w:eastAsia="Times New Roman" w:hAnsi="Times New Roman" w:cs="Times New Roman"/>
          <w:i/>
          <w:iCs/>
          <w:color w:val="212121"/>
          <w:lang w:eastAsia="en-GB"/>
        </w:rPr>
      </w:pPr>
    </w:p>
    <w:p w14:paraId="658C1DC6" w14:textId="18163096" w:rsidR="00BE40BB" w:rsidRPr="00BE40BB" w:rsidRDefault="008321EB"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hAnsi="Times New Roman" w:cs="Times New Roman"/>
        </w:rPr>
        <w:lastRenderedPageBreak/>
        <w:t>W</w:t>
      </w:r>
      <w:r w:rsidR="00B10FE7" w:rsidRPr="008C25EF">
        <w:rPr>
          <w:rFonts w:ascii="Times New Roman" w:hAnsi="Times New Roman" w:cs="Times New Roman"/>
        </w:rPr>
        <w:t xml:space="preserve">hen an individual </w:t>
      </w:r>
      <w:r>
        <w:rPr>
          <w:rFonts w:ascii="Times New Roman" w:hAnsi="Times New Roman" w:cs="Times New Roman"/>
        </w:rPr>
        <w:t>participates</w:t>
      </w:r>
      <w:r w:rsidR="00B10FE7" w:rsidRPr="008C25EF">
        <w:rPr>
          <w:rFonts w:ascii="Times New Roman" w:hAnsi="Times New Roman" w:cs="Times New Roman"/>
        </w:rPr>
        <w:t xml:space="preserve"> in an act of pr</w:t>
      </w:r>
      <w:r w:rsidR="00BE40BB">
        <w:rPr>
          <w:rFonts w:ascii="Times New Roman" w:hAnsi="Times New Roman" w:cs="Times New Roman"/>
        </w:rPr>
        <w:t>otes</w:t>
      </w:r>
      <w:r w:rsidR="00B10FE7" w:rsidRPr="008C25EF">
        <w:rPr>
          <w:rFonts w:ascii="Times New Roman" w:hAnsi="Times New Roman" w:cs="Times New Roman"/>
        </w:rPr>
        <w:t xml:space="preserve">t or civil disobedience, which engages constitutional and </w:t>
      </w:r>
      <w:r w:rsidR="008C25EF">
        <w:rPr>
          <w:rFonts w:ascii="Times New Roman" w:hAnsi="Times New Roman" w:cs="Times New Roman"/>
        </w:rPr>
        <w:t>ECHR</w:t>
      </w:r>
      <w:r w:rsidR="00B10FE7" w:rsidRPr="008C25EF">
        <w:rPr>
          <w:rFonts w:ascii="Times New Roman" w:hAnsi="Times New Roman" w:cs="Times New Roman"/>
        </w:rPr>
        <w:t xml:space="preserve"> rights, the criminal law must </w:t>
      </w:r>
      <w:r>
        <w:rPr>
          <w:rFonts w:ascii="Times New Roman" w:hAnsi="Times New Roman" w:cs="Times New Roman"/>
        </w:rPr>
        <w:t>ensure the proper respect for</w:t>
      </w:r>
      <w:r w:rsidR="00B10FE7" w:rsidRPr="008C25EF">
        <w:rPr>
          <w:rFonts w:ascii="Times New Roman" w:hAnsi="Times New Roman" w:cs="Times New Roman"/>
        </w:rPr>
        <w:t xml:space="preserve"> th</w:t>
      </w:r>
      <w:r w:rsidR="00BE40BB">
        <w:rPr>
          <w:rFonts w:ascii="Times New Roman" w:hAnsi="Times New Roman" w:cs="Times New Roman"/>
        </w:rPr>
        <w:t>o</w:t>
      </w:r>
      <w:r w:rsidR="00B10FE7" w:rsidRPr="008C25EF">
        <w:rPr>
          <w:rFonts w:ascii="Times New Roman" w:hAnsi="Times New Roman" w:cs="Times New Roman"/>
        </w:rPr>
        <w:t xml:space="preserve">se rights. This may take the form of consideration by the presiding </w:t>
      </w:r>
      <w:r w:rsidR="00BE40BB">
        <w:rPr>
          <w:rFonts w:ascii="Times New Roman" w:hAnsi="Times New Roman" w:cs="Times New Roman"/>
        </w:rPr>
        <w:t>j</w:t>
      </w:r>
      <w:r w:rsidR="00B10FE7" w:rsidRPr="008C25EF">
        <w:rPr>
          <w:rFonts w:ascii="Times New Roman" w:hAnsi="Times New Roman" w:cs="Times New Roman"/>
        </w:rPr>
        <w:t>udge and</w:t>
      </w:r>
      <w:r w:rsidR="00BE40BB">
        <w:rPr>
          <w:rFonts w:ascii="Times New Roman" w:hAnsi="Times New Roman" w:cs="Times New Roman"/>
        </w:rPr>
        <w:t>/or</w:t>
      </w:r>
      <w:r w:rsidR="00B10FE7" w:rsidRPr="008C25EF">
        <w:rPr>
          <w:rFonts w:ascii="Times New Roman" w:hAnsi="Times New Roman" w:cs="Times New Roman"/>
        </w:rPr>
        <w:t xml:space="preserve"> by the jury. The precise form which this requires </w:t>
      </w:r>
      <w:r w:rsidR="00BE40BB">
        <w:rPr>
          <w:rFonts w:ascii="Times New Roman" w:hAnsi="Times New Roman" w:cs="Times New Roman"/>
        </w:rPr>
        <w:t>will</w:t>
      </w:r>
      <w:r w:rsidR="00B10FE7" w:rsidRPr="008C25EF">
        <w:rPr>
          <w:rFonts w:ascii="Times New Roman" w:hAnsi="Times New Roman" w:cs="Times New Roman"/>
        </w:rPr>
        <w:t xml:space="preserve"> depend on the facts of the case. </w:t>
      </w:r>
    </w:p>
    <w:p w14:paraId="1B728E76" w14:textId="77777777" w:rsidR="00BE40BB" w:rsidRPr="00BE40BB" w:rsidRDefault="00BE40BB" w:rsidP="00824073">
      <w:pPr>
        <w:pStyle w:val="ListParagraph"/>
        <w:spacing w:line="360" w:lineRule="auto"/>
        <w:jc w:val="both"/>
        <w:rPr>
          <w:rFonts w:ascii="Times New Roman" w:eastAsia="Times New Roman" w:hAnsi="Times New Roman" w:cs="Times New Roman"/>
          <w:i/>
          <w:iCs/>
          <w:color w:val="212121"/>
          <w:lang w:eastAsia="en-GB"/>
        </w:rPr>
      </w:pPr>
    </w:p>
    <w:p w14:paraId="7ED0D351" w14:textId="575D369E" w:rsidR="008321EB" w:rsidRPr="00230D78" w:rsidRDefault="00B10FE7" w:rsidP="008321EB">
      <w:pPr>
        <w:pStyle w:val="ListParagraph"/>
        <w:numPr>
          <w:ilvl w:val="0"/>
          <w:numId w:val="1"/>
        </w:numPr>
        <w:spacing w:line="360" w:lineRule="auto"/>
        <w:jc w:val="both"/>
        <w:rPr>
          <w:rFonts w:ascii="Times New Roman" w:hAnsi="Times New Roman" w:cs="Times New Roman"/>
        </w:rPr>
      </w:pPr>
      <w:r w:rsidRPr="00230D78">
        <w:rPr>
          <w:rFonts w:ascii="Times New Roman" w:hAnsi="Times New Roman" w:cs="Times New Roman"/>
        </w:rPr>
        <w:t xml:space="preserve">In the present case, the statutory defence of lawful excuse (to the charge of criminal damage) and the common law defence of necessity (to the trespass charge) </w:t>
      </w:r>
      <w:r w:rsidR="008321EB" w:rsidRPr="00230D78">
        <w:rPr>
          <w:rFonts w:ascii="Times New Roman" w:hAnsi="Times New Roman" w:cs="Times New Roman"/>
        </w:rPr>
        <w:t>are relied on by the Appellant</w:t>
      </w:r>
      <w:r w:rsidR="009359DC" w:rsidRPr="00230D78">
        <w:rPr>
          <w:rFonts w:ascii="Times New Roman" w:hAnsi="Times New Roman" w:cs="Times New Roman"/>
        </w:rPr>
        <w:t>.</w:t>
      </w:r>
      <w:r w:rsidR="008321EB" w:rsidRPr="00230D78">
        <w:rPr>
          <w:rFonts w:ascii="Times New Roman" w:hAnsi="Times New Roman" w:cs="Times New Roman"/>
        </w:rPr>
        <w:t xml:space="preserve"> </w:t>
      </w:r>
    </w:p>
    <w:p w14:paraId="7F3EFA5A" w14:textId="77777777" w:rsidR="00230D78" w:rsidRPr="00230D78" w:rsidRDefault="00230D78" w:rsidP="00230D78">
      <w:pPr>
        <w:spacing w:line="360" w:lineRule="auto"/>
        <w:jc w:val="both"/>
        <w:rPr>
          <w:rFonts w:ascii="Times New Roman" w:hAnsi="Times New Roman" w:cs="Times New Roman"/>
        </w:rPr>
      </w:pPr>
    </w:p>
    <w:p w14:paraId="2E4392D0" w14:textId="0C0925D9" w:rsidR="008C25EF" w:rsidRPr="008C25EF" w:rsidRDefault="00B10FE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Two issues are</w:t>
      </w:r>
      <w:r w:rsidR="00BE40BB">
        <w:rPr>
          <w:rFonts w:ascii="Times New Roman" w:hAnsi="Times New Roman" w:cs="Times New Roman"/>
        </w:rPr>
        <w:t xml:space="preserve"> </w:t>
      </w:r>
      <w:r w:rsidRPr="008C25EF">
        <w:rPr>
          <w:rFonts w:ascii="Times New Roman" w:hAnsi="Times New Roman" w:cs="Times New Roman"/>
        </w:rPr>
        <w:t xml:space="preserve">the parameters of </w:t>
      </w:r>
      <w:r w:rsidR="00BE40BB">
        <w:rPr>
          <w:rFonts w:ascii="Times New Roman" w:hAnsi="Times New Roman" w:cs="Times New Roman"/>
        </w:rPr>
        <w:t>(</w:t>
      </w:r>
      <w:proofErr w:type="spellStart"/>
      <w:r w:rsidR="00BE40BB">
        <w:rPr>
          <w:rFonts w:ascii="Times New Roman" w:hAnsi="Times New Roman" w:cs="Times New Roman"/>
        </w:rPr>
        <w:t>i</w:t>
      </w:r>
      <w:proofErr w:type="spellEnd"/>
      <w:r w:rsidR="00BE40BB">
        <w:rPr>
          <w:rFonts w:ascii="Times New Roman" w:hAnsi="Times New Roman" w:cs="Times New Roman"/>
        </w:rPr>
        <w:t xml:space="preserve">) </w:t>
      </w:r>
      <w:r w:rsidRPr="008C25EF">
        <w:rPr>
          <w:rFonts w:ascii="Times New Roman" w:hAnsi="Times New Roman" w:cs="Times New Roman"/>
        </w:rPr>
        <w:t xml:space="preserve">the defence of necessity itself and </w:t>
      </w:r>
      <w:r w:rsidR="00BE40BB">
        <w:rPr>
          <w:rFonts w:ascii="Times New Roman" w:hAnsi="Times New Roman" w:cs="Times New Roman"/>
        </w:rPr>
        <w:t>(ii)</w:t>
      </w:r>
      <w:r w:rsidRPr="008C25EF">
        <w:rPr>
          <w:rFonts w:ascii="Times New Roman" w:hAnsi="Times New Roman" w:cs="Times New Roman"/>
        </w:rPr>
        <w:t xml:space="preserve"> that defence in the Appellant’s case. </w:t>
      </w:r>
    </w:p>
    <w:p w14:paraId="2674AFBD"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4AE9FC88" w14:textId="3470DDFB" w:rsidR="008C25EF" w:rsidRPr="00A07A7C" w:rsidRDefault="00B10FE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It is acknowledged by all the parties that there is limited jurisprudence on the parameters of </w:t>
      </w:r>
      <w:r w:rsidR="00234736">
        <w:rPr>
          <w:rFonts w:ascii="Times New Roman" w:hAnsi="Times New Roman" w:cs="Times New Roman"/>
        </w:rPr>
        <w:t xml:space="preserve">the defence of </w:t>
      </w:r>
      <w:r w:rsidRPr="008C25EF">
        <w:rPr>
          <w:rFonts w:ascii="Times New Roman" w:hAnsi="Times New Roman" w:cs="Times New Roman"/>
        </w:rPr>
        <w:t xml:space="preserve">necessity. The Director submits that the definition adopted by the Court of Criminal Appeal, </w:t>
      </w:r>
      <w:r w:rsidR="008321EB">
        <w:rPr>
          <w:rFonts w:ascii="Times New Roman" w:hAnsi="Times New Roman" w:cs="Times New Roman"/>
        </w:rPr>
        <w:t>endorsing</w:t>
      </w:r>
      <w:r w:rsidRPr="008C25EF">
        <w:rPr>
          <w:rFonts w:ascii="Times New Roman" w:hAnsi="Times New Roman" w:cs="Times New Roman"/>
        </w:rPr>
        <w:t xml:space="preserve"> that in Charleton &amp; McDermott’s</w:t>
      </w:r>
      <w:r w:rsidRPr="008C25EF">
        <w:rPr>
          <w:rFonts w:ascii="Times New Roman" w:hAnsi="Times New Roman" w:cs="Times New Roman"/>
          <w:i/>
          <w:iCs/>
        </w:rPr>
        <w:t xml:space="preserve"> Criminal Law and Evidence </w:t>
      </w:r>
      <w:r w:rsidRPr="008C25EF">
        <w:rPr>
          <w:rFonts w:ascii="Times New Roman" w:hAnsi="Times New Roman" w:cs="Times New Roman"/>
        </w:rPr>
        <w:t xml:space="preserve">(2nd edition) </w:t>
      </w:r>
      <w:r w:rsidR="00234736">
        <w:rPr>
          <w:rFonts w:ascii="Times New Roman" w:hAnsi="Times New Roman" w:cs="Times New Roman"/>
        </w:rPr>
        <w:t xml:space="preserve">textbook, </w:t>
      </w:r>
      <w:r w:rsidRPr="008C25EF">
        <w:rPr>
          <w:rFonts w:ascii="Times New Roman" w:hAnsi="Times New Roman" w:cs="Times New Roman"/>
        </w:rPr>
        <w:t>at paragraph 22.14,</w:t>
      </w:r>
      <w:r w:rsidRPr="008C25EF">
        <w:rPr>
          <w:rFonts w:ascii="Times New Roman" w:hAnsi="Times New Roman" w:cs="Times New Roman"/>
          <w:i/>
          <w:iCs/>
        </w:rPr>
        <w:t xml:space="preserve"> </w:t>
      </w:r>
      <w:r w:rsidR="00BE40BB" w:rsidRPr="008C25EF">
        <w:rPr>
          <w:rFonts w:ascii="Times New Roman" w:hAnsi="Times New Roman" w:cs="Times New Roman"/>
        </w:rPr>
        <w:t xml:space="preserve">alongside the </w:t>
      </w:r>
      <w:r w:rsidR="00BE40BB">
        <w:rPr>
          <w:rFonts w:ascii="Times New Roman" w:hAnsi="Times New Roman" w:cs="Times New Roman"/>
        </w:rPr>
        <w:t xml:space="preserve">approach in the English </w:t>
      </w:r>
      <w:r w:rsidR="00BE40BB" w:rsidRPr="008C25EF">
        <w:rPr>
          <w:rFonts w:ascii="Times New Roman" w:hAnsi="Times New Roman" w:cs="Times New Roman"/>
        </w:rPr>
        <w:t xml:space="preserve">cases of </w:t>
      </w:r>
      <w:r w:rsidR="00BE40BB" w:rsidRPr="008321EB">
        <w:rPr>
          <w:rFonts w:ascii="Times New Roman" w:hAnsi="Times New Roman" w:cs="Times New Roman"/>
          <w:b/>
          <w:bCs/>
          <w:i/>
          <w:iCs/>
        </w:rPr>
        <w:t>Thacker</w:t>
      </w:r>
      <w:r w:rsidR="00BE40BB" w:rsidRPr="008C25EF">
        <w:rPr>
          <w:rFonts w:ascii="Times New Roman" w:hAnsi="Times New Roman" w:cs="Times New Roman"/>
        </w:rPr>
        <w:t xml:space="preserve"> and </w:t>
      </w:r>
      <w:r w:rsidR="00BE40BB" w:rsidRPr="008321EB">
        <w:rPr>
          <w:rFonts w:ascii="Times New Roman" w:hAnsi="Times New Roman" w:cs="Times New Roman"/>
          <w:b/>
          <w:bCs/>
          <w:i/>
          <w:iCs/>
        </w:rPr>
        <w:t>Jones</w:t>
      </w:r>
      <w:r w:rsidR="008321EB">
        <w:rPr>
          <w:rFonts w:ascii="Times New Roman" w:hAnsi="Times New Roman" w:cs="Times New Roman"/>
        </w:rPr>
        <w:t xml:space="preserve">, </w:t>
      </w:r>
      <w:r w:rsidRPr="008C25EF">
        <w:rPr>
          <w:rFonts w:ascii="Times New Roman" w:hAnsi="Times New Roman" w:cs="Times New Roman"/>
        </w:rPr>
        <w:t>is correct. The Appellant’s position is that this is t</w:t>
      </w:r>
      <w:r w:rsidR="008321EB">
        <w:rPr>
          <w:rFonts w:ascii="Times New Roman" w:hAnsi="Times New Roman" w:cs="Times New Roman"/>
        </w:rPr>
        <w:t>o</w:t>
      </w:r>
      <w:r w:rsidRPr="008C25EF">
        <w:rPr>
          <w:rFonts w:ascii="Times New Roman" w:hAnsi="Times New Roman" w:cs="Times New Roman"/>
        </w:rPr>
        <w:t xml:space="preserve">o narrow. </w:t>
      </w:r>
      <w:r w:rsidRPr="00A07A7C">
        <w:rPr>
          <w:rFonts w:ascii="Times New Roman" w:hAnsi="Times New Roman" w:cs="Times New Roman"/>
        </w:rPr>
        <w:t>The Commission</w:t>
      </w:r>
      <w:r w:rsidR="00A07A7C">
        <w:rPr>
          <w:rFonts w:ascii="Times New Roman" w:hAnsi="Times New Roman" w:cs="Times New Roman"/>
        </w:rPr>
        <w:t xml:space="preserve">’s respectful position is also that it is </w:t>
      </w:r>
      <w:r w:rsidRPr="00A07A7C">
        <w:rPr>
          <w:rFonts w:ascii="Times New Roman" w:hAnsi="Times New Roman" w:cs="Times New Roman"/>
        </w:rPr>
        <w:t>too narrow</w:t>
      </w:r>
      <w:r w:rsidR="00BE40BB" w:rsidRPr="00A07A7C">
        <w:rPr>
          <w:rFonts w:ascii="Times New Roman" w:hAnsi="Times New Roman" w:cs="Times New Roman"/>
        </w:rPr>
        <w:t>.</w:t>
      </w:r>
    </w:p>
    <w:p w14:paraId="0D89D689" w14:textId="77777777" w:rsidR="008C25EF" w:rsidRPr="008C25EF" w:rsidRDefault="008C25EF" w:rsidP="00824073">
      <w:pPr>
        <w:pStyle w:val="ListParagraph"/>
        <w:spacing w:line="360" w:lineRule="auto"/>
        <w:rPr>
          <w:rFonts w:ascii="Times New Roman" w:eastAsia="Times New Roman" w:hAnsi="Times New Roman" w:cs="Times New Roman"/>
          <w:b/>
          <w:bCs/>
          <w:lang w:eastAsia="en-GB"/>
        </w:rPr>
      </w:pPr>
    </w:p>
    <w:p w14:paraId="7A79A4F3" w14:textId="10E06261" w:rsidR="008C25EF" w:rsidRPr="00A07A7C" w:rsidRDefault="00DB532E" w:rsidP="00824073">
      <w:pPr>
        <w:pStyle w:val="ListParagraph"/>
        <w:numPr>
          <w:ilvl w:val="0"/>
          <w:numId w:val="12"/>
        </w:numPr>
        <w:spacing w:line="360" w:lineRule="auto"/>
        <w:jc w:val="both"/>
        <w:rPr>
          <w:rFonts w:ascii="Times New Roman" w:eastAsia="Times New Roman" w:hAnsi="Times New Roman" w:cs="Times New Roman"/>
          <w:i/>
          <w:iCs/>
          <w:color w:val="212121"/>
          <w:lang w:eastAsia="en-GB"/>
        </w:rPr>
      </w:pPr>
      <w:r w:rsidRPr="00A07A7C">
        <w:rPr>
          <w:rFonts w:ascii="Times New Roman" w:eastAsia="Times New Roman" w:hAnsi="Times New Roman" w:cs="Times New Roman"/>
          <w:b/>
          <w:bCs/>
          <w:lang w:eastAsia="en-GB"/>
        </w:rPr>
        <w:t>English case law – necessity and duress of circumstances</w:t>
      </w:r>
    </w:p>
    <w:p w14:paraId="7D61905A" w14:textId="77777777" w:rsidR="008C25EF" w:rsidRDefault="008C25EF" w:rsidP="00824073">
      <w:pPr>
        <w:spacing w:line="360" w:lineRule="auto"/>
        <w:ind w:left="360"/>
        <w:jc w:val="both"/>
        <w:rPr>
          <w:rFonts w:ascii="Times New Roman" w:hAnsi="Times New Roman" w:cs="Times New Roman"/>
        </w:rPr>
      </w:pPr>
    </w:p>
    <w:p w14:paraId="6E75A3F9" w14:textId="4A01F8CC" w:rsidR="008C25EF" w:rsidRPr="00A07A7C" w:rsidRDefault="00E15C8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A07A7C">
        <w:rPr>
          <w:rFonts w:ascii="Times New Roman" w:hAnsi="Times New Roman" w:cs="Times New Roman"/>
        </w:rPr>
        <w:t>The DPP’s submissions address the post-</w:t>
      </w:r>
      <w:r w:rsidRPr="008321EB">
        <w:rPr>
          <w:rFonts w:ascii="Times New Roman" w:hAnsi="Times New Roman" w:cs="Times New Roman"/>
          <w:b/>
          <w:bCs/>
          <w:i/>
          <w:iCs/>
        </w:rPr>
        <w:t>Ziegler</w:t>
      </w:r>
      <w:r w:rsidRPr="00A07A7C">
        <w:rPr>
          <w:rFonts w:ascii="Times New Roman" w:hAnsi="Times New Roman" w:cs="Times New Roman"/>
          <w:i/>
          <w:iCs/>
        </w:rPr>
        <w:t xml:space="preserve"> </w:t>
      </w:r>
      <w:r w:rsidRPr="00A07A7C">
        <w:rPr>
          <w:rFonts w:ascii="Times New Roman" w:hAnsi="Times New Roman" w:cs="Times New Roman"/>
        </w:rPr>
        <w:t xml:space="preserve">case law alongside the </w:t>
      </w:r>
      <w:r w:rsidRPr="008321EB">
        <w:rPr>
          <w:rFonts w:ascii="Times New Roman" w:hAnsi="Times New Roman" w:cs="Times New Roman"/>
          <w:b/>
          <w:bCs/>
          <w:i/>
          <w:iCs/>
        </w:rPr>
        <w:t>Thacker</w:t>
      </w:r>
      <w:r w:rsidRPr="00A07A7C">
        <w:rPr>
          <w:rFonts w:ascii="Times New Roman" w:hAnsi="Times New Roman" w:cs="Times New Roman"/>
          <w:i/>
          <w:iCs/>
        </w:rPr>
        <w:t xml:space="preserve"> </w:t>
      </w:r>
      <w:r w:rsidRPr="00A07A7C">
        <w:rPr>
          <w:rFonts w:ascii="Times New Roman" w:hAnsi="Times New Roman" w:cs="Times New Roman"/>
        </w:rPr>
        <w:t xml:space="preserve">case. It is of note that some </w:t>
      </w:r>
      <w:r w:rsidR="00BE40BB" w:rsidRPr="00A07A7C">
        <w:rPr>
          <w:rFonts w:ascii="Times New Roman" w:hAnsi="Times New Roman" w:cs="Times New Roman"/>
        </w:rPr>
        <w:t xml:space="preserve">of </w:t>
      </w:r>
      <w:r w:rsidRPr="00A07A7C">
        <w:rPr>
          <w:rFonts w:ascii="Times New Roman" w:hAnsi="Times New Roman" w:cs="Times New Roman"/>
        </w:rPr>
        <w:t xml:space="preserve">the case law in England and Wales on this point has tended to oscillate between discussions of </w:t>
      </w:r>
      <w:r w:rsidR="008321EB">
        <w:rPr>
          <w:rFonts w:ascii="Times New Roman" w:hAnsi="Times New Roman" w:cs="Times New Roman"/>
        </w:rPr>
        <w:t>“</w:t>
      </w:r>
      <w:r w:rsidRPr="00A07A7C">
        <w:rPr>
          <w:rFonts w:ascii="Times New Roman" w:hAnsi="Times New Roman" w:cs="Times New Roman"/>
        </w:rPr>
        <w:t>necessity</w:t>
      </w:r>
      <w:r w:rsidR="008321EB">
        <w:rPr>
          <w:rFonts w:ascii="Times New Roman" w:hAnsi="Times New Roman" w:cs="Times New Roman"/>
        </w:rPr>
        <w:t>”</w:t>
      </w:r>
      <w:r w:rsidRPr="00A07A7C">
        <w:rPr>
          <w:rFonts w:ascii="Times New Roman" w:hAnsi="Times New Roman" w:cs="Times New Roman"/>
        </w:rPr>
        <w:t xml:space="preserve"> and </w:t>
      </w:r>
      <w:r w:rsidR="008321EB">
        <w:rPr>
          <w:rFonts w:ascii="Times New Roman" w:hAnsi="Times New Roman" w:cs="Times New Roman"/>
        </w:rPr>
        <w:t>“</w:t>
      </w:r>
      <w:r w:rsidRPr="00A07A7C">
        <w:rPr>
          <w:rFonts w:ascii="Times New Roman" w:hAnsi="Times New Roman" w:cs="Times New Roman"/>
        </w:rPr>
        <w:t>duress of necessity</w:t>
      </w:r>
      <w:r w:rsidR="008321EB">
        <w:rPr>
          <w:rFonts w:ascii="Times New Roman" w:hAnsi="Times New Roman" w:cs="Times New Roman"/>
        </w:rPr>
        <w:t>”</w:t>
      </w:r>
      <w:r w:rsidRPr="00A07A7C">
        <w:rPr>
          <w:rFonts w:ascii="Times New Roman" w:hAnsi="Times New Roman" w:cs="Times New Roman"/>
        </w:rPr>
        <w:t>, with commentary also addressing the cases under each of these headings.</w:t>
      </w:r>
      <w:r w:rsidRPr="00AD669A">
        <w:rPr>
          <w:rStyle w:val="FootnoteReference"/>
          <w:rFonts w:ascii="Times New Roman" w:hAnsi="Times New Roman" w:cs="Times New Roman"/>
        </w:rPr>
        <w:footnoteReference w:id="15"/>
      </w:r>
      <w:r w:rsidRPr="00A07A7C">
        <w:rPr>
          <w:rFonts w:ascii="Times New Roman" w:hAnsi="Times New Roman" w:cs="Times New Roman"/>
        </w:rPr>
        <w:t xml:space="preserve"> </w:t>
      </w:r>
    </w:p>
    <w:p w14:paraId="233B0494"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43326C95" w14:textId="0DC5A1DF" w:rsidR="008C25EF" w:rsidRPr="008C25EF" w:rsidRDefault="00E15C8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Smith and Hogan observe that (at 395):</w:t>
      </w:r>
    </w:p>
    <w:p w14:paraId="007C65DA" w14:textId="77777777" w:rsidR="008C25EF" w:rsidRPr="008C25EF" w:rsidRDefault="008C25EF" w:rsidP="00824073">
      <w:pPr>
        <w:pStyle w:val="ListParagraph"/>
        <w:spacing w:line="360" w:lineRule="auto"/>
        <w:rPr>
          <w:rFonts w:ascii="Times New Roman" w:hAnsi="Times New Roman" w:cs="Times New Roman"/>
        </w:rPr>
      </w:pPr>
    </w:p>
    <w:p w14:paraId="4D72890A" w14:textId="58B62609" w:rsidR="008C25EF" w:rsidRPr="00234736" w:rsidRDefault="00E15C85" w:rsidP="00234736">
      <w:pPr>
        <w:spacing w:line="360" w:lineRule="auto"/>
        <w:ind w:left="644"/>
        <w:jc w:val="both"/>
        <w:rPr>
          <w:rFonts w:ascii="Times New Roman" w:hAnsi="Times New Roman" w:cs="Times New Roman"/>
        </w:rPr>
      </w:pPr>
      <w:r w:rsidRPr="00234736">
        <w:rPr>
          <w:rFonts w:ascii="Times New Roman" w:hAnsi="Times New Roman" w:cs="Times New Roman"/>
        </w:rPr>
        <w:t>“</w:t>
      </w:r>
      <w:r w:rsidRPr="00234736">
        <w:rPr>
          <w:rFonts w:ascii="Times New Roman" w:hAnsi="Times New Roman" w:cs="Times New Roman"/>
          <w:i/>
          <w:iCs/>
        </w:rPr>
        <w:t xml:space="preserve">As with both forms of duress </w:t>
      </w:r>
      <w:r w:rsidRPr="00234736">
        <w:rPr>
          <w:rFonts w:ascii="Times New Roman" w:hAnsi="Times New Roman" w:cs="Times New Roman"/>
        </w:rPr>
        <w:t>[duress by threats and duress of circumstances]</w:t>
      </w:r>
      <w:r w:rsidRPr="00234736">
        <w:rPr>
          <w:rFonts w:ascii="Times New Roman" w:hAnsi="Times New Roman" w:cs="Times New Roman"/>
          <w:i/>
          <w:iCs/>
        </w:rPr>
        <w:t xml:space="preserve">, we are again concerned with situations in which a person is faced with a choice between two unpleasant alternatives, one involving their committing a breach of the criminal law and </w:t>
      </w:r>
      <w:r w:rsidRPr="00234736">
        <w:rPr>
          <w:rFonts w:ascii="Times New Roman" w:hAnsi="Times New Roman" w:cs="Times New Roman"/>
          <w:i/>
          <w:iCs/>
        </w:rPr>
        <w:lastRenderedPageBreak/>
        <w:t xml:space="preserve">the other involving some evil to themselves or others. Unlike the defence of duress, </w:t>
      </w:r>
      <w:r w:rsidRPr="00234736">
        <w:rPr>
          <w:rFonts w:ascii="Times New Roman" w:hAnsi="Times New Roman" w:cs="Times New Roman"/>
          <w:i/>
          <w:iCs/>
          <w:u w:val="single"/>
        </w:rPr>
        <w:t xml:space="preserve">the defence of necessity is more </w:t>
      </w:r>
      <w:proofErr w:type="gramStart"/>
      <w:r w:rsidRPr="00234736">
        <w:rPr>
          <w:rFonts w:ascii="Times New Roman" w:hAnsi="Times New Roman" w:cs="Times New Roman"/>
          <w:i/>
          <w:iCs/>
          <w:u w:val="single"/>
        </w:rPr>
        <w:t>open-textured</w:t>
      </w:r>
      <w:proofErr w:type="gramEnd"/>
      <w:r w:rsidRPr="00234736">
        <w:rPr>
          <w:rFonts w:ascii="Times New Roman" w:hAnsi="Times New Roman" w:cs="Times New Roman"/>
          <w:i/>
          <w:iCs/>
          <w:u w:val="single"/>
        </w:rPr>
        <w:t xml:space="preserve"> without prescribed thresholds</w:t>
      </w:r>
      <w:r w:rsidRPr="00234736">
        <w:rPr>
          <w:rFonts w:ascii="Times New Roman" w:hAnsi="Times New Roman" w:cs="Times New Roman"/>
          <w:i/>
          <w:iCs/>
        </w:rPr>
        <w:t>. If the evil avoided outweighs any evil involved in breaching the letter of the law, it is arguable that the actor should have a defence of necessity”.</w:t>
      </w:r>
      <w:r w:rsidR="008321EB" w:rsidRPr="00234736">
        <w:rPr>
          <w:rFonts w:ascii="Times New Roman" w:hAnsi="Times New Roman" w:cs="Times New Roman"/>
        </w:rPr>
        <w:t xml:space="preserve"> [Emphasis added]</w:t>
      </w:r>
    </w:p>
    <w:p w14:paraId="6E71B157" w14:textId="77777777" w:rsidR="008C25EF" w:rsidRDefault="008C25EF" w:rsidP="00824073">
      <w:pPr>
        <w:spacing w:line="360" w:lineRule="auto"/>
        <w:jc w:val="both"/>
        <w:rPr>
          <w:rFonts w:ascii="Times New Roman" w:hAnsi="Times New Roman" w:cs="Times New Roman"/>
        </w:rPr>
      </w:pPr>
    </w:p>
    <w:p w14:paraId="4294BF68" w14:textId="72C3E4F9" w:rsidR="008C25EF" w:rsidRPr="008C25EF" w:rsidRDefault="00E15C8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The authors </w:t>
      </w:r>
      <w:r w:rsidR="00BE40BB">
        <w:rPr>
          <w:rFonts w:ascii="Times New Roman" w:hAnsi="Times New Roman" w:cs="Times New Roman"/>
        </w:rPr>
        <w:t xml:space="preserve">acknowledge that this approach had not been affirmed by the courts in England and Wales (up to 2024). They </w:t>
      </w:r>
      <w:r w:rsidRPr="008C25EF">
        <w:rPr>
          <w:rFonts w:ascii="Times New Roman" w:hAnsi="Times New Roman" w:cs="Times New Roman"/>
        </w:rPr>
        <w:t>go on to discuss the conflation of the defences of duress of circumstances and necessity observing that:</w:t>
      </w:r>
    </w:p>
    <w:p w14:paraId="4A1EF695" w14:textId="77777777" w:rsidR="00BE40BB" w:rsidRDefault="00BE40BB" w:rsidP="00824073">
      <w:pPr>
        <w:pStyle w:val="ListParagraph"/>
        <w:spacing w:line="360" w:lineRule="auto"/>
        <w:jc w:val="both"/>
        <w:rPr>
          <w:rFonts w:ascii="Times New Roman" w:hAnsi="Times New Roman" w:cs="Times New Roman"/>
        </w:rPr>
      </w:pPr>
    </w:p>
    <w:p w14:paraId="58B82B0F" w14:textId="20E69C88" w:rsidR="008C25EF" w:rsidRPr="00234736" w:rsidRDefault="00E15C85" w:rsidP="00234736">
      <w:pPr>
        <w:spacing w:line="360" w:lineRule="auto"/>
        <w:ind w:left="644"/>
        <w:jc w:val="both"/>
        <w:rPr>
          <w:rFonts w:ascii="Times New Roman" w:hAnsi="Times New Roman" w:cs="Times New Roman"/>
          <w:i/>
          <w:iCs/>
        </w:rPr>
      </w:pPr>
      <w:r w:rsidRPr="00234736">
        <w:rPr>
          <w:rFonts w:ascii="Times New Roman" w:hAnsi="Times New Roman" w:cs="Times New Roman"/>
        </w:rPr>
        <w:t>“</w:t>
      </w:r>
      <w:r w:rsidRPr="00234736">
        <w:rPr>
          <w:rFonts w:ascii="Times New Roman" w:hAnsi="Times New Roman" w:cs="Times New Roman"/>
          <w:i/>
          <w:iCs/>
        </w:rPr>
        <w:t xml:space="preserve">The precise scope and definition of the defence </w:t>
      </w:r>
      <w:r w:rsidRPr="00234736">
        <w:rPr>
          <w:rFonts w:ascii="Times New Roman" w:hAnsi="Times New Roman" w:cs="Times New Roman"/>
        </w:rPr>
        <w:t xml:space="preserve">[of necessity] </w:t>
      </w:r>
      <w:r w:rsidRPr="00234736">
        <w:rPr>
          <w:rFonts w:ascii="Times New Roman" w:hAnsi="Times New Roman" w:cs="Times New Roman"/>
          <w:i/>
          <w:iCs/>
        </w:rPr>
        <w:t xml:space="preserve">remains elusive. Indeed, there may be a degree of ambiguity arising from the emergence of duress of circumstances discussed earlier. In many cases this is treated simply as an instance of necessity. On some occasions the Courts have even merged the terms, as in </w:t>
      </w:r>
      <w:r w:rsidRPr="00234736">
        <w:rPr>
          <w:rFonts w:ascii="Times New Roman" w:hAnsi="Times New Roman" w:cs="Times New Roman"/>
        </w:rPr>
        <w:t xml:space="preserve">Quale, </w:t>
      </w:r>
      <w:r w:rsidRPr="00234736">
        <w:rPr>
          <w:rFonts w:ascii="Times New Roman" w:hAnsi="Times New Roman" w:cs="Times New Roman"/>
          <w:i/>
          <w:iCs/>
        </w:rPr>
        <w:t xml:space="preserve">where the reference is to ‘necessity of circumstance’. […] Despite the explicit recognition of necessity, the courts persistently adopt a restrictive approach to its application. There is an underlying anxiety that it must be kept within strict limits to prevent defendants claiming that they thought their actions in breaking the law were reasonable and represented the lesser of two evils. </w:t>
      </w:r>
    </w:p>
    <w:p w14:paraId="3854B727" w14:textId="77777777" w:rsidR="008C25EF" w:rsidRDefault="008C25EF" w:rsidP="00824073">
      <w:pPr>
        <w:spacing w:line="360" w:lineRule="auto"/>
        <w:jc w:val="both"/>
        <w:rPr>
          <w:rFonts w:ascii="Times New Roman" w:hAnsi="Times New Roman" w:cs="Times New Roman"/>
        </w:rPr>
      </w:pPr>
    </w:p>
    <w:p w14:paraId="62F4CA37" w14:textId="4EBD1E02" w:rsidR="008C25EF" w:rsidRPr="008C25EF" w:rsidRDefault="00E15C8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Th</w:t>
      </w:r>
      <w:r w:rsidR="00BE40BB">
        <w:rPr>
          <w:rFonts w:ascii="Times New Roman" w:hAnsi="Times New Roman" w:cs="Times New Roman"/>
        </w:rPr>
        <w:t>e authors</w:t>
      </w:r>
      <w:r w:rsidRPr="008C25EF">
        <w:rPr>
          <w:rFonts w:ascii="Times New Roman" w:hAnsi="Times New Roman" w:cs="Times New Roman"/>
        </w:rPr>
        <w:t xml:space="preserve"> quote from Alan Norrie’s analysis in the 3</w:t>
      </w:r>
      <w:r w:rsidRPr="008C25EF">
        <w:rPr>
          <w:rFonts w:ascii="Times New Roman" w:hAnsi="Times New Roman" w:cs="Times New Roman"/>
          <w:vertAlign w:val="superscript"/>
        </w:rPr>
        <w:t>rd</w:t>
      </w:r>
      <w:r w:rsidRPr="008C25EF">
        <w:rPr>
          <w:rFonts w:ascii="Times New Roman" w:hAnsi="Times New Roman" w:cs="Times New Roman"/>
        </w:rPr>
        <w:t xml:space="preserve"> edition of </w:t>
      </w:r>
      <w:r w:rsidRPr="008C25EF">
        <w:rPr>
          <w:rFonts w:ascii="Times New Roman" w:hAnsi="Times New Roman" w:cs="Times New Roman"/>
          <w:i/>
          <w:iCs/>
        </w:rPr>
        <w:t xml:space="preserve">Crime, Reason and History: A Critical Introduction to the Criminal Law </w:t>
      </w:r>
      <w:r w:rsidRPr="008C25EF">
        <w:rPr>
          <w:rFonts w:ascii="Times New Roman" w:hAnsi="Times New Roman" w:cs="Times New Roman"/>
        </w:rPr>
        <w:t xml:space="preserve">(Cambridge University Press, 2014) which is also of </w:t>
      </w:r>
      <w:r w:rsidR="008321EB">
        <w:rPr>
          <w:rFonts w:ascii="Times New Roman" w:hAnsi="Times New Roman" w:cs="Times New Roman"/>
        </w:rPr>
        <w:t>potential releva</w:t>
      </w:r>
      <w:r w:rsidRPr="008C25EF">
        <w:rPr>
          <w:rFonts w:ascii="Times New Roman" w:hAnsi="Times New Roman" w:cs="Times New Roman"/>
        </w:rPr>
        <w:t>nce to the present appeal:</w:t>
      </w:r>
    </w:p>
    <w:p w14:paraId="272AC1CE" w14:textId="77777777" w:rsidR="00BE40BB" w:rsidRDefault="00BE40BB" w:rsidP="00824073">
      <w:pPr>
        <w:pStyle w:val="ListParagraph"/>
        <w:spacing w:line="360" w:lineRule="auto"/>
        <w:jc w:val="both"/>
        <w:rPr>
          <w:rFonts w:ascii="Times New Roman" w:hAnsi="Times New Roman" w:cs="Times New Roman"/>
          <w:i/>
          <w:iCs/>
        </w:rPr>
      </w:pPr>
    </w:p>
    <w:p w14:paraId="6E34B131" w14:textId="656208C4" w:rsidR="008C25EF" w:rsidRPr="00234736" w:rsidRDefault="008321EB" w:rsidP="00234736">
      <w:pPr>
        <w:spacing w:line="360" w:lineRule="auto"/>
        <w:ind w:left="644"/>
        <w:jc w:val="both"/>
        <w:rPr>
          <w:rFonts w:ascii="Times New Roman" w:hAnsi="Times New Roman" w:cs="Times New Roman"/>
        </w:rPr>
      </w:pPr>
      <w:r w:rsidRPr="00234736">
        <w:rPr>
          <w:rFonts w:ascii="Times New Roman" w:hAnsi="Times New Roman" w:cs="Times New Roman"/>
          <w:i/>
          <w:iCs/>
        </w:rPr>
        <w:t>“</w:t>
      </w:r>
      <w:r w:rsidR="00E15C85" w:rsidRPr="00234736">
        <w:rPr>
          <w:rFonts w:ascii="Times New Roman" w:hAnsi="Times New Roman" w:cs="Times New Roman"/>
          <w:i/>
          <w:iCs/>
        </w:rPr>
        <w:t>…</w:t>
      </w:r>
      <w:r w:rsidR="00BE40BB" w:rsidRPr="00234736">
        <w:rPr>
          <w:rFonts w:ascii="Times New Roman" w:hAnsi="Times New Roman" w:cs="Times New Roman"/>
          <w:i/>
          <w:iCs/>
        </w:rPr>
        <w:t xml:space="preserve"> </w:t>
      </w:r>
      <w:r w:rsidR="00E15C85" w:rsidRPr="00234736">
        <w:rPr>
          <w:rFonts w:ascii="Times New Roman" w:hAnsi="Times New Roman" w:cs="Times New Roman"/>
          <w:i/>
          <w:iCs/>
        </w:rPr>
        <w:t xml:space="preserve">necessity operates to permit alternative political, ethical, economic and moral arguments to confront the formal logic of the law. Resting on a concept of moral involuntariness, it </w:t>
      </w:r>
      <w:proofErr w:type="gramStart"/>
      <w:r w:rsidR="00E15C85" w:rsidRPr="00234736">
        <w:rPr>
          <w:rFonts w:ascii="Times New Roman" w:hAnsi="Times New Roman" w:cs="Times New Roman"/>
          <w:i/>
          <w:iCs/>
        </w:rPr>
        <w:t>opens up</w:t>
      </w:r>
      <w:proofErr w:type="gramEnd"/>
      <w:r w:rsidR="00E15C85" w:rsidRPr="00234736">
        <w:rPr>
          <w:rFonts w:ascii="Times New Roman" w:hAnsi="Times New Roman" w:cs="Times New Roman"/>
          <w:i/>
          <w:iCs/>
        </w:rPr>
        <w:t xml:space="preserve"> the grounds upon which a defendant can say ‘I could do no other’. For this reason, the law has fought shy of the defence, yet there remains at the same time a cogent reason for accepting it. It introduces broader ideas of justice, either in terms of social or environmental justice, or the requirements of a properly democratic polity. It requires the criminal law to be mindful of such ideas and the underlying social and political reasons which represent the only means of sustaining its legitimacy</w:t>
      </w:r>
      <w:r w:rsidRPr="00234736">
        <w:rPr>
          <w:rFonts w:ascii="Times New Roman" w:hAnsi="Times New Roman" w:cs="Times New Roman"/>
        </w:rPr>
        <w:t>” (at 218)</w:t>
      </w:r>
    </w:p>
    <w:p w14:paraId="54315EA1" w14:textId="77777777" w:rsidR="008C25EF" w:rsidRDefault="008C25EF" w:rsidP="00824073">
      <w:pPr>
        <w:spacing w:line="360" w:lineRule="auto"/>
        <w:jc w:val="both"/>
        <w:rPr>
          <w:rFonts w:ascii="Times New Roman" w:hAnsi="Times New Roman" w:cs="Times New Roman"/>
        </w:rPr>
      </w:pPr>
    </w:p>
    <w:p w14:paraId="4D5FC44E" w14:textId="5F1AC4B5" w:rsidR="008C25EF" w:rsidRPr="008C25EF" w:rsidRDefault="008B4DCA"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proofErr w:type="gramStart"/>
      <w:r w:rsidRPr="008C25EF">
        <w:rPr>
          <w:rFonts w:ascii="Times New Roman" w:hAnsi="Times New Roman" w:cs="Times New Roman"/>
        </w:rPr>
        <w:lastRenderedPageBreak/>
        <w:t>A number of</w:t>
      </w:r>
      <w:proofErr w:type="gramEnd"/>
      <w:r w:rsidRPr="008C25EF">
        <w:rPr>
          <w:rFonts w:ascii="Times New Roman" w:hAnsi="Times New Roman" w:cs="Times New Roman"/>
        </w:rPr>
        <w:t xml:space="preserve"> cases </w:t>
      </w:r>
      <w:r w:rsidR="008321EB">
        <w:rPr>
          <w:rFonts w:ascii="Times New Roman" w:hAnsi="Times New Roman" w:cs="Times New Roman"/>
        </w:rPr>
        <w:t xml:space="preserve">in England and Wales are </w:t>
      </w:r>
      <w:r w:rsidRPr="008C25EF">
        <w:rPr>
          <w:rFonts w:ascii="Times New Roman" w:hAnsi="Times New Roman" w:cs="Times New Roman"/>
        </w:rPr>
        <w:t>of relevance</w:t>
      </w:r>
      <w:r w:rsidR="008321EB">
        <w:rPr>
          <w:rFonts w:ascii="Times New Roman" w:hAnsi="Times New Roman" w:cs="Times New Roman"/>
        </w:rPr>
        <w:t>. Particularly so, t</w:t>
      </w:r>
      <w:r w:rsidRPr="008C25EF">
        <w:rPr>
          <w:rFonts w:ascii="Times New Roman" w:hAnsi="Times New Roman" w:cs="Times New Roman"/>
        </w:rPr>
        <w:t xml:space="preserve">he </w:t>
      </w:r>
      <w:r w:rsidRPr="008C25EF">
        <w:rPr>
          <w:rFonts w:ascii="Times New Roman" w:hAnsi="Times New Roman" w:cs="Times New Roman"/>
          <w:b/>
          <w:bCs/>
          <w:i/>
          <w:iCs/>
        </w:rPr>
        <w:t>Ziegler</w:t>
      </w:r>
      <w:r w:rsidRPr="008C25EF">
        <w:rPr>
          <w:rFonts w:ascii="Times New Roman" w:hAnsi="Times New Roman" w:cs="Times New Roman"/>
          <w:i/>
          <w:iCs/>
        </w:rPr>
        <w:t xml:space="preserve"> </w:t>
      </w:r>
      <w:r w:rsidRPr="008C25EF">
        <w:rPr>
          <w:rFonts w:ascii="Times New Roman" w:hAnsi="Times New Roman" w:cs="Times New Roman"/>
        </w:rPr>
        <w:t>case</w:t>
      </w:r>
      <w:r w:rsidR="008321EB">
        <w:rPr>
          <w:rFonts w:ascii="Times New Roman" w:hAnsi="Times New Roman" w:cs="Times New Roman"/>
        </w:rPr>
        <w:t xml:space="preserve">: </w:t>
      </w:r>
      <w:r w:rsidR="002D2979" w:rsidRPr="008C25EF">
        <w:rPr>
          <w:rFonts w:ascii="Times New Roman" w:hAnsi="Times New Roman" w:cs="Times New Roman"/>
        </w:rPr>
        <w:t xml:space="preserve">discussed in greater detail below in the context of the connection between necessity and acts of protest/civil disobedience. </w:t>
      </w:r>
      <w:r w:rsidRPr="008C25EF">
        <w:rPr>
          <w:rFonts w:ascii="Times New Roman" w:hAnsi="Times New Roman" w:cs="Times New Roman"/>
        </w:rPr>
        <w:t xml:space="preserve">Prior to </w:t>
      </w:r>
      <w:r w:rsidRPr="008C25EF">
        <w:rPr>
          <w:rFonts w:ascii="Times New Roman" w:hAnsi="Times New Roman" w:cs="Times New Roman"/>
          <w:b/>
          <w:bCs/>
          <w:i/>
          <w:iCs/>
        </w:rPr>
        <w:t>Ziegler</w:t>
      </w:r>
      <w:r w:rsidRPr="008C25EF">
        <w:rPr>
          <w:rFonts w:ascii="Times New Roman" w:hAnsi="Times New Roman" w:cs="Times New Roman"/>
        </w:rPr>
        <w:t xml:space="preserve">, </w:t>
      </w:r>
      <w:proofErr w:type="gramStart"/>
      <w:r w:rsidRPr="008C25EF">
        <w:rPr>
          <w:rFonts w:ascii="Times New Roman" w:hAnsi="Times New Roman" w:cs="Times New Roman"/>
        </w:rPr>
        <w:t>a number of</w:t>
      </w:r>
      <w:proofErr w:type="gramEnd"/>
      <w:r w:rsidRPr="008C25EF">
        <w:rPr>
          <w:rFonts w:ascii="Times New Roman" w:hAnsi="Times New Roman" w:cs="Times New Roman"/>
        </w:rPr>
        <w:t xml:space="preserve"> decisions </w:t>
      </w:r>
      <w:r w:rsidR="002D2979" w:rsidRPr="008C25EF">
        <w:rPr>
          <w:rFonts w:ascii="Times New Roman" w:hAnsi="Times New Roman" w:cs="Times New Roman"/>
        </w:rPr>
        <w:t xml:space="preserve">grappled with the contours of the defence of necessity and the related </w:t>
      </w:r>
      <w:r w:rsidR="00B87F03" w:rsidRPr="008C25EF">
        <w:rPr>
          <w:rFonts w:ascii="Times New Roman" w:hAnsi="Times New Roman" w:cs="Times New Roman"/>
        </w:rPr>
        <w:t>defence of duress of circumstances.</w:t>
      </w:r>
    </w:p>
    <w:p w14:paraId="471C78FE"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151EDCCA" w14:textId="13485F4F" w:rsidR="008C25EF" w:rsidRPr="008C25EF" w:rsidRDefault="008B4DCA"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I</w:t>
      </w:r>
      <w:r w:rsidR="00340847" w:rsidRPr="008C25EF">
        <w:rPr>
          <w:rFonts w:ascii="Times New Roman" w:hAnsi="Times New Roman" w:cs="Times New Roman"/>
        </w:rPr>
        <w:t xml:space="preserve">n </w:t>
      </w:r>
      <w:r w:rsidR="00340847" w:rsidRPr="008C25EF">
        <w:rPr>
          <w:rFonts w:ascii="Times New Roman" w:hAnsi="Times New Roman" w:cs="Times New Roman"/>
          <w:b/>
          <w:bCs/>
          <w:i/>
          <w:iCs/>
        </w:rPr>
        <w:t>Re A (Children</w:t>
      </w:r>
      <w:r w:rsidR="00340847" w:rsidRPr="008C25EF">
        <w:rPr>
          <w:rFonts w:ascii="Times New Roman" w:hAnsi="Times New Roman" w:cs="Times New Roman"/>
          <w:b/>
          <w:bCs/>
        </w:rPr>
        <w:t>)</w:t>
      </w:r>
      <w:r w:rsidR="00340847" w:rsidRPr="008C25EF">
        <w:rPr>
          <w:rFonts w:ascii="Times New Roman" w:hAnsi="Times New Roman" w:cs="Times New Roman"/>
        </w:rPr>
        <w:t xml:space="preserve"> [2000] 4 All ER 961 the Court of Appeal of England and Wales considered the doctrine of necessity in the context </w:t>
      </w:r>
      <w:r w:rsidR="00BE40BB">
        <w:rPr>
          <w:rFonts w:ascii="Times New Roman" w:hAnsi="Times New Roman" w:cs="Times New Roman"/>
        </w:rPr>
        <w:t xml:space="preserve">of </w:t>
      </w:r>
      <w:r w:rsidR="00340847" w:rsidRPr="008C25EF">
        <w:rPr>
          <w:rFonts w:ascii="Times New Roman" w:hAnsi="Times New Roman" w:cs="Times New Roman"/>
        </w:rPr>
        <w:t xml:space="preserve">conjoined twins whose separation would result in the death </w:t>
      </w:r>
      <w:r w:rsidR="00BE40BB">
        <w:rPr>
          <w:rFonts w:ascii="Times New Roman" w:hAnsi="Times New Roman" w:cs="Times New Roman"/>
        </w:rPr>
        <w:t xml:space="preserve">of </w:t>
      </w:r>
      <w:r w:rsidR="00340847" w:rsidRPr="008C25EF">
        <w:rPr>
          <w:rFonts w:ascii="Times New Roman" w:hAnsi="Times New Roman" w:cs="Times New Roman"/>
        </w:rPr>
        <w:t xml:space="preserve">one but in the absence of </w:t>
      </w:r>
      <w:r w:rsidR="00BE40BB">
        <w:rPr>
          <w:rFonts w:ascii="Times New Roman" w:hAnsi="Times New Roman" w:cs="Times New Roman"/>
        </w:rPr>
        <w:t xml:space="preserve">which </w:t>
      </w:r>
      <w:r w:rsidR="00340847" w:rsidRPr="008C25EF">
        <w:rPr>
          <w:rFonts w:ascii="Times New Roman" w:hAnsi="Times New Roman" w:cs="Times New Roman"/>
        </w:rPr>
        <w:t>both would die. Brooke L</w:t>
      </w:r>
      <w:r w:rsidR="00BE40BB">
        <w:rPr>
          <w:rFonts w:ascii="Times New Roman" w:hAnsi="Times New Roman" w:cs="Times New Roman"/>
        </w:rPr>
        <w:t>.</w:t>
      </w:r>
      <w:r w:rsidR="00340847" w:rsidRPr="008C25EF">
        <w:rPr>
          <w:rFonts w:ascii="Times New Roman" w:hAnsi="Times New Roman" w:cs="Times New Roman"/>
        </w:rPr>
        <w:t>J</w:t>
      </w:r>
      <w:r w:rsidR="00BE40BB">
        <w:rPr>
          <w:rFonts w:ascii="Times New Roman" w:hAnsi="Times New Roman" w:cs="Times New Roman"/>
        </w:rPr>
        <w:t>.</w:t>
      </w:r>
      <w:r w:rsidR="00340847" w:rsidRPr="008C25EF">
        <w:rPr>
          <w:rFonts w:ascii="Times New Roman" w:hAnsi="Times New Roman" w:cs="Times New Roman"/>
        </w:rPr>
        <w:t xml:space="preserve"> considered the application of the defence of necessity in considering </w:t>
      </w:r>
      <w:r w:rsidR="00BE40BB">
        <w:rPr>
          <w:rFonts w:ascii="Times New Roman" w:hAnsi="Times New Roman" w:cs="Times New Roman"/>
        </w:rPr>
        <w:t xml:space="preserve">whether </w:t>
      </w:r>
      <w:r w:rsidR="00340847" w:rsidRPr="008C25EF">
        <w:rPr>
          <w:rFonts w:ascii="Times New Roman" w:hAnsi="Times New Roman" w:cs="Times New Roman"/>
        </w:rPr>
        <w:t>the operation would be lawful (other members of the Court relied on different rationale</w:t>
      </w:r>
      <w:r w:rsidR="008321EB">
        <w:rPr>
          <w:rFonts w:ascii="Times New Roman" w:hAnsi="Times New Roman" w:cs="Times New Roman"/>
        </w:rPr>
        <w:t>s</w:t>
      </w:r>
      <w:r w:rsidR="00340847" w:rsidRPr="008C25EF">
        <w:rPr>
          <w:rFonts w:ascii="Times New Roman" w:hAnsi="Times New Roman" w:cs="Times New Roman"/>
        </w:rPr>
        <w:t xml:space="preserve"> to reach the same conclusion). Brooke L</w:t>
      </w:r>
      <w:r w:rsidR="00BE40BB">
        <w:rPr>
          <w:rFonts w:ascii="Times New Roman" w:hAnsi="Times New Roman" w:cs="Times New Roman"/>
        </w:rPr>
        <w:t>.</w:t>
      </w:r>
      <w:r w:rsidR="00340847" w:rsidRPr="008C25EF">
        <w:rPr>
          <w:rFonts w:ascii="Times New Roman" w:hAnsi="Times New Roman" w:cs="Times New Roman"/>
        </w:rPr>
        <w:t>J</w:t>
      </w:r>
      <w:r w:rsidR="00BE40BB">
        <w:rPr>
          <w:rFonts w:ascii="Times New Roman" w:hAnsi="Times New Roman" w:cs="Times New Roman"/>
        </w:rPr>
        <w:t>.</w:t>
      </w:r>
      <w:r w:rsidR="00340847" w:rsidRPr="008C25EF">
        <w:rPr>
          <w:rFonts w:ascii="Times New Roman" w:hAnsi="Times New Roman" w:cs="Times New Roman"/>
        </w:rPr>
        <w:t xml:space="preserve"> considered the historical development of the defence of necessity in English law, back to the thirteenth century writings of </w:t>
      </w:r>
      <w:proofErr w:type="spellStart"/>
      <w:r w:rsidR="00340847" w:rsidRPr="008C25EF">
        <w:rPr>
          <w:rFonts w:ascii="Times New Roman" w:hAnsi="Times New Roman" w:cs="Times New Roman"/>
        </w:rPr>
        <w:t>Bracton</w:t>
      </w:r>
      <w:proofErr w:type="spellEnd"/>
      <w:r w:rsidR="00340847" w:rsidRPr="008C25EF">
        <w:rPr>
          <w:rFonts w:ascii="Times New Roman" w:hAnsi="Times New Roman" w:cs="Times New Roman"/>
        </w:rPr>
        <w:t xml:space="preserve">, </w:t>
      </w:r>
      <w:r w:rsidR="00234736">
        <w:rPr>
          <w:rFonts w:ascii="Times New Roman" w:hAnsi="Times New Roman" w:cs="Times New Roman"/>
        </w:rPr>
        <w:t xml:space="preserve">and </w:t>
      </w:r>
      <w:r w:rsidR="00340847" w:rsidRPr="008C25EF">
        <w:rPr>
          <w:rFonts w:ascii="Times New Roman" w:hAnsi="Times New Roman" w:cs="Times New Roman"/>
        </w:rPr>
        <w:t>through the following centuries</w:t>
      </w:r>
      <w:r w:rsidR="00234736">
        <w:rPr>
          <w:rFonts w:ascii="Times New Roman" w:hAnsi="Times New Roman" w:cs="Times New Roman"/>
        </w:rPr>
        <w:t>,</w:t>
      </w:r>
      <w:r w:rsidR="00340847" w:rsidRPr="008C25EF">
        <w:rPr>
          <w:rFonts w:ascii="Times New Roman" w:hAnsi="Times New Roman" w:cs="Times New Roman"/>
        </w:rPr>
        <w:t xml:space="preserve"> in reaching his </w:t>
      </w:r>
      <w:r w:rsidR="00BE40BB">
        <w:rPr>
          <w:rFonts w:ascii="Times New Roman" w:hAnsi="Times New Roman" w:cs="Times New Roman"/>
        </w:rPr>
        <w:t>decision</w:t>
      </w:r>
      <w:r w:rsidR="00340847" w:rsidRPr="008C25EF">
        <w:rPr>
          <w:rFonts w:ascii="Times New Roman" w:hAnsi="Times New Roman" w:cs="Times New Roman"/>
        </w:rPr>
        <w:t>. He concluded on the key elements of the defence of necessity with reference to the writings of Sir James Stephen as follows:</w:t>
      </w:r>
    </w:p>
    <w:p w14:paraId="5C08E9BA" w14:textId="77777777" w:rsidR="008C25EF" w:rsidRPr="008C25EF" w:rsidRDefault="008C25EF" w:rsidP="00824073">
      <w:pPr>
        <w:pStyle w:val="ListParagraph"/>
        <w:spacing w:line="360" w:lineRule="auto"/>
        <w:rPr>
          <w:rFonts w:ascii="Times New Roman" w:hAnsi="Times New Roman" w:cs="Times New Roman"/>
          <w:i/>
          <w:iCs/>
        </w:rPr>
      </w:pPr>
    </w:p>
    <w:p w14:paraId="3F1FC375" w14:textId="78CCEA1A" w:rsidR="008C25EF" w:rsidRPr="00234736" w:rsidRDefault="008321EB"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340847" w:rsidRPr="00234736">
        <w:rPr>
          <w:rFonts w:ascii="Times New Roman" w:hAnsi="Times New Roman" w:cs="Times New Roman"/>
          <w:i/>
          <w:iCs/>
        </w:rPr>
        <w:t>According to Sir James Stephen, there are three necessary requirements for the application of the doctrine of necessity:</w:t>
      </w:r>
    </w:p>
    <w:p w14:paraId="6A62D5B0" w14:textId="6CACB11A" w:rsidR="008C25EF" w:rsidRDefault="00340847" w:rsidP="00824073">
      <w:pPr>
        <w:pStyle w:val="ListParagraph"/>
        <w:numPr>
          <w:ilvl w:val="0"/>
          <w:numId w:val="6"/>
        </w:numPr>
        <w:spacing w:line="360" w:lineRule="auto"/>
        <w:jc w:val="both"/>
        <w:rPr>
          <w:rFonts w:ascii="Times New Roman" w:hAnsi="Times New Roman" w:cs="Times New Roman"/>
          <w:i/>
          <w:iCs/>
        </w:rPr>
      </w:pPr>
      <w:r w:rsidRPr="008C25EF">
        <w:rPr>
          <w:rFonts w:ascii="Times New Roman" w:hAnsi="Times New Roman" w:cs="Times New Roman"/>
          <w:i/>
          <w:iCs/>
        </w:rPr>
        <w:t xml:space="preserve">the act is needed to avoid inevitable and irreparable </w:t>
      </w:r>
      <w:proofErr w:type="gramStart"/>
      <w:r w:rsidRPr="008C25EF">
        <w:rPr>
          <w:rFonts w:ascii="Times New Roman" w:hAnsi="Times New Roman" w:cs="Times New Roman"/>
          <w:i/>
          <w:iCs/>
        </w:rPr>
        <w:t>evil;</w:t>
      </w:r>
      <w:proofErr w:type="gramEnd"/>
    </w:p>
    <w:p w14:paraId="47B68407" w14:textId="7B6B6A76" w:rsidR="008C25EF" w:rsidRPr="008C25EF" w:rsidRDefault="00340847" w:rsidP="00824073">
      <w:pPr>
        <w:pStyle w:val="ListParagraph"/>
        <w:numPr>
          <w:ilvl w:val="0"/>
          <w:numId w:val="6"/>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i/>
          <w:iCs/>
        </w:rPr>
        <w:t xml:space="preserve">no more should be done than is reasonably necessary for the purpose to be </w:t>
      </w:r>
      <w:proofErr w:type="gramStart"/>
      <w:r w:rsidRPr="008C25EF">
        <w:rPr>
          <w:rFonts w:ascii="Times New Roman" w:hAnsi="Times New Roman" w:cs="Times New Roman"/>
          <w:i/>
          <w:iCs/>
        </w:rPr>
        <w:t>achieved;</w:t>
      </w:r>
      <w:proofErr w:type="gramEnd"/>
    </w:p>
    <w:p w14:paraId="3600A648" w14:textId="721BE847" w:rsidR="008C25EF" w:rsidRPr="008C25EF" w:rsidRDefault="00340847" w:rsidP="00824073">
      <w:pPr>
        <w:pStyle w:val="ListParagraph"/>
        <w:numPr>
          <w:ilvl w:val="0"/>
          <w:numId w:val="6"/>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i/>
          <w:iCs/>
        </w:rPr>
        <w:t>the evil inflicted must not be disproportionate to the evil avoided.</w:t>
      </w:r>
      <w:r w:rsidR="008321EB">
        <w:rPr>
          <w:rFonts w:ascii="Times New Roman" w:hAnsi="Times New Roman" w:cs="Times New Roman"/>
          <w:i/>
          <w:iCs/>
        </w:rPr>
        <w:t>”</w:t>
      </w:r>
    </w:p>
    <w:p w14:paraId="36F94361" w14:textId="77777777" w:rsidR="008C25EF" w:rsidRDefault="008C25EF" w:rsidP="00824073">
      <w:pPr>
        <w:spacing w:line="360" w:lineRule="auto"/>
        <w:jc w:val="both"/>
        <w:rPr>
          <w:rFonts w:ascii="Times New Roman" w:hAnsi="Times New Roman" w:cs="Times New Roman"/>
        </w:rPr>
      </w:pPr>
    </w:p>
    <w:p w14:paraId="3FC73635" w14:textId="74AEF356" w:rsidR="008C25EF" w:rsidRPr="008C25EF" w:rsidRDefault="0034084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It is of note that Brooke L</w:t>
      </w:r>
      <w:r w:rsidR="00BE40BB">
        <w:rPr>
          <w:rFonts w:ascii="Times New Roman" w:hAnsi="Times New Roman" w:cs="Times New Roman"/>
        </w:rPr>
        <w:t>.</w:t>
      </w:r>
      <w:r w:rsidRPr="008C25EF">
        <w:rPr>
          <w:rFonts w:ascii="Times New Roman" w:hAnsi="Times New Roman" w:cs="Times New Roman"/>
        </w:rPr>
        <w:t>J</w:t>
      </w:r>
      <w:r w:rsidR="00BE40BB">
        <w:rPr>
          <w:rFonts w:ascii="Times New Roman" w:hAnsi="Times New Roman" w:cs="Times New Roman"/>
        </w:rPr>
        <w:t>.</w:t>
      </w:r>
      <w:r w:rsidRPr="008C25EF">
        <w:rPr>
          <w:rFonts w:ascii="Times New Roman" w:hAnsi="Times New Roman" w:cs="Times New Roman"/>
        </w:rPr>
        <w:t xml:space="preserve"> summari</w:t>
      </w:r>
      <w:r w:rsidR="00BE40BB">
        <w:rPr>
          <w:rFonts w:ascii="Times New Roman" w:hAnsi="Times New Roman" w:cs="Times New Roman"/>
        </w:rPr>
        <w:t>s</w:t>
      </w:r>
      <w:r w:rsidRPr="008C25EF">
        <w:rPr>
          <w:rFonts w:ascii="Times New Roman" w:hAnsi="Times New Roman" w:cs="Times New Roman"/>
        </w:rPr>
        <w:t>es that “</w:t>
      </w:r>
      <w:r w:rsidR="00BE40BB">
        <w:rPr>
          <w:rFonts w:ascii="Times New Roman" w:hAnsi="Times New Roman" w:cs="Times New Roman"/>
          <w:i/>
          <w:iCs/>
        </w:rPr>
        <w:t>[</w:t>
      </w:r>
      <w:proofErr w:type="spellStart"/>
      <w:r w:rsidR="00BE40BB">
        <w:rPr>
          <w:rFonts w:ascii="Times New Roman" w:hAnsi="Times New Roman" w:cs="Times New Roman"/>
          <w:i/>
          <w:iCs/>
        </w:rPr>
        <w:t>i</w:t>
      </w:r>
      <w:proofErr w:type="spellEnd"/>
      <w:r w:rsidR="00BE40BB">
        <w:rPr>
          <w:rFonts w:ascii="Times New Roman" w:hAnsi="Times New Roman" w:cs="Times New Roman"/>
          <w:i/>
          <w:iCs/>
        </w:rPr>
        <w:t>]</w:t>
      </w:r>
      <w:r w:rsidRPr="008C25EF">
        <w:rPr>
          <w:rFonts w:ascii="Times New Roman" w:hAnsi="Times New Roman" w:cs="Times New Roman"/>
          <w:i/>
          <w:iCs/>
        </w:rPr>
        <w:t>n cases of pure necessity the actor</w:t>
      </w:r>
      <w:r w:rsidR="00BE40BB">
        <w:rPr>
          <w:rFonts w:ascii="Times New Roman" w:hAnsi="Times New Roman" w:cs="Times New Roman"/>
          <w:i/>
          <w:iCs/>
        </w:rPr>
        <w:t>’</w:t>
      </w:r>
      <w:r w:rsidRPr="008C25EF">
        <w:rPr>
          <w:rFonts w:ascii="Times New Roman" w:hAnsi="Times New Roman" w:cs="Times New Roman"/>
          <w:i/>
          <w:iCs/>
        </w:rPr>
        <w:t>s mind is not irresistibly overborne by external pressures. The claim is that his or her conduct was not harmful because on a choice of two evils the choice of avoiding the greater harm was justified</w:t>
      </w:r>
      <w:r w:rsidRPr="008C25EF">
        <w:rPr>
          <w:rFonts w:ascii="Times New Roman" w:hAnsi="Times New Roman" w:cs="Times New Roman"/>
        </w:rPr>
        <w:t xml:space="preserve">”. He refers to the case of </w:t>
      </w:r>
      <w:r w:rsidRPr="008C25EF">
        <w:rPr>
          <w:rFonts w:ascii="Times New Roman" w:hAnsi="Times New Roman" w:cs="Times New Roman"/>
          <w:i/>
          <w:iCs/>
        </w:rPr>
        <w:t>R v</w:t>
      </w:r>
      <w:r w:rsidR="00BE40BB">
        <w:rPr>
          <w:rFonts w:ascii="Times New Roman" w:hAnsi="Times New Roman" w:cs="Times New Roman"/>
          <w:i/>
          <w:iCs/>
        </w:rPr>
        <w:t>.</w:t>
      </w:r>
      <w:r w:rsidRPr="008C25EF">
        <w:rPr>
          <w:rFonts w:ascii="Times New Roman" w:hAnsi="Times New Roman" w:cs="Times New Roman"/>
          <w:i/>
          <w:iCs/>
        </w:rPr>
        <w:t xml:space="preserve"> Martin </w:t>
      </w:r>
      <w:r w:rsidRPr="008C25EF">
        <w:rPr>
          <w:rFonts w:ascii="Times New Roman" w:hAnsi="Times New Roman" w:cs="Times New Roman"/>
        </w:rPr>
        <w:t>(considered below) to demonstrate that necessity may arise in circumstance</w:t>
      </w:r>
      <w:r w:rsidR="00BE40BB">
        <w:rPr>
          <w:rFonts w:ascii="Times New Roman" w:hAnsi="Times New Roman" w:cs="Times New Roman"/>
        </w:rPr>
        <w:t>s</w:t>
      </w:r>
      <w:r w:rsidRPr="008C25EF">
        <w:rPr>
          <w:rFonts w:ascii="Times New Roman" w:hAnsi="Times New Roman" w:cs="Times New Roman"/>
        </w:rPr>
        <w:t xml:space="preserve"> which fall far short of the life-and-death scenarios considered in a great deal of the case law such that an individual</w:t>
      </w:r>
      <w:r w:rsidR="00BE40BB">
        <w:rPr>
          <w:rFonts w:ascii="Times New Roman" w:hAnsi="Times New Roman" w:cs="Times New Roman"/>
        </w:rPr>
        <w:t>’</w:t>
      </w:r>
      <w:r w:rsidRPr="008C25EF">
        <w:rPr>
          <w:rFonts w:ascii="Times New Roman" w:hAnsi="Times New Roman" w:cs="Times New Roman"/>
        </w:rPr>
        <w:t>s will is entirely “</w:t>
      </w:r>
      <w:r w:rsidRPr="008C25EF">
        <w:rPr>
          <w:rFonts w:ascii="Times New Roman" w:hAnsi="Times New Roman" w:cs="Times New Roman"/>
          <w:i/>
          <w:iCs/>
        </w:rPr>
        <w:t>overborne by external pressures”</w:t>
      </w:r>
      <w:r w:rsidRPr="008C25EF">
        <w:rPr>
          <w:rFonts w:ascii="Times New Roman" w:hAnsi="Times New Roman" w:cs="Times New Roman"/>
        </w:rPr>
        <w:t xml:space="preserve">. </w:t>
      </w:r>
    </w:p>
    <w:p w14:paraId="27C8F8C7" w14:textId="77777777" w:rsidR="00BE40BB" w:rsidRPr="00BE40BB" w:rsidRDefault="00BE40BB" w:rsidP="00824073">
      <w:pPr>
        <w:pStyle w:val="ListParagraph"/>
        <w:spacing w:line="360" w:lineRule="auto"/>
        <w:jc w:val="both"/>
        <w:rPr>
          <w:rFonts w:ascii="Times New Roman" w:eastAsia="Times New Roman" w:hAnsi="Times New Roman" w:cs="Times New Roman"/>
          <w:i/>
          <w:iCs/>
          <w:color w:val="212121"/>
          <w:lang w:eastAsia="en-GB"/>
        </w:rPr>
      </w:pPr>
    </w:p>
    <w:p w14:paraId="6E8623D8" w14:textId="524EA7C6" w:rsidR="008C25EF" w:rsidRPr="008321EB" w:rsidRDefault="00E450B9" w:rsidP="008321EB">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It is notable that the definition outlined by Brooke L</w:t>
      </w:r>
      <w:r w:rsidR="00234736">
        <w:rPr>
          <w:rFonts w:ascii="Times New Roman" w:hAnsi="Times New Roman" w:cs="Times New Roman"/>
        </w:rPr>
        <w:t>.</w:t>
      </w:r>
      <w:r w:rsidRPr="008C25EF">
        <w:rPr>
          <w:rFonts w:ascii="Times New Roman" w:hAnsi="Times New Roman" w:cs="Times New Roman"/>
        </w:rPr>
        <w:t>J</w:t>
      </w:r>
      <w:r w:rsidR="00234736">
        <w:rPr>
          <w:rFonts w:ascii="Times New Roman" w:hAnsi="Times New Roman" w:cs="Times New Roman"/>
        </w:rPr>
        <w:t>.</w:t>
      </w:r>
      <w:r w:rsidRPr="008C25EF">
        <w:rPr>
          <w:rFonts w:ascii="Times New Roman" w:hAnsi="Times New Roman" w:cs="Times New Roman"/>
        </w:rPr>
        <w:t>, adopted from that of Stephen, does not require</w:t>
      </w:r>
      <w:r w:rsidR="008F22CF" w:rsidRPr="008C25EF">
        <w:rPr>
          <w:rFonts w:ascii="Times New Roman" w:hAnsi="Times New Roman" w:cs="Times New Roman"/>
        </w:rPr>
        <w:t xml:space="preserve"> </w:t>
      </w:r>
      <w:r w:rsidR="00635F8D" w:rsidRPr="008C25EF">
        <w:rPr>
          <w:rFonts w:ascii="Times New Roman" w:hAnsi="Times New Roman" w:cs="Times New Roman"/>
        </w:rPr>
        <w:t>i</w:t>
      </w:r>
      <w:r w:rsidR="00D076F5" w:rsidRPr="008C25EF">
        <w:rPr>
          <w:rFonts w:ascii="Times New Roman" w:hAnsi="Times New Roman" w:cs="Times New Roman"/>
        </w:rPr>
        <w:t>mmedia</w:t>
      </w:r>
      <w:r w:rsidR="00BE40BB">
        <w:rPr>
          <w:rFonts w:ascii="Times New Roman" w:hAnsi="Times New Roman" w:cs="Times New Roman"/>
        </w:rPr>
        <w:t>c</w:t>
      </w:r>
      <w:r w:rsidR="00D076F5" w:rsidRPr="008C25EF">
        <w:rPr>
          <w:rFonts w:ascii="Times New Roman" w:hAnsi="Times New Roman" w:cs="Times New Roman"/>
        </w:rPr>
        <w:t xml:space="preserve">y or imminence </w:t>
      </w:r>
      <w:r w:rsidR="00635F8D" w:rsidRPr="008C25EF">
        <w:rPr>
          <w:rFonts w:ascii="Times New Roman" w:hAnsi="Times New Roman" w:cs="Times New Roman"/>
        </w:rPr>
        <w:t>of</w:t>
      </w:r>
      <w:r w:rsidR="008F22CF" w:rsidRPr="008C25EF">
        <w:rPr>
          <w:rFonts w:ascii="Times New Roman" w:hAnsi="Times New Roman" w:cs="Times New Roman"/>
        </w:rPr>
        <w:t xml:space="preserve"> the “</w:t>
      </w:r>
      <w:r w:rsidR="008F22CF" w:rsidRPr="008C25EF">
        <w:rPr>
          <w:rFonts w:ascii="Times New Roman" w:hAnsi="Times New Roman" w:cs="Times New Roman"/>
          <w:i/>
          <w:iCs/>
        </w:rPr>
        <w:t>real and pressing danger</w:t>
      </w:r>
      <w:r w:rsidR="00635F8D" w:rsidRPr="008C25EF">
        <w:rPr>
          <w:rFonts w:ascii="Times New Roman" w:hAnsi="Times New Roman" w:cs="Times New Roman"/>
        </w:rPr>
        <w:t xml:space="preserve">” </w:t>
      </w:r>
      <w:r w:rsidR="004A7E3C" w:rsidRPr="008C25EF">
        <w:rPr>
          <w:rFonts w:ascii="Times New Roman" w:hAnsi="Times New Roman" w:cs="Times New Roman"/>
        </w:rPr>
        <w:t xml:space="preserve">or </w:t>
      </w:r>
      <w:r w:rsidR="004A7E3C" w:rsidRPr="008C25EF">
        <w:rPr>
          <w:rFonts w:ascii="Times New Roman" w:hAnsi="Times New Roman" w:cs="Times New Roman"/>
        </w:rPr>
        <w:lastRenderedPageBreak/>
        <w:t>“</w:t>
      </w:r>
      <w:r w:rsidR="004A7E3C" w:rsidRPr="008C25EF">
        <w:rPr>
          <w:rFonts w:ascii="Times New Roman" w:hAnsi="Times New Roman" w:cs="Times New Roman"/>
          <w:i/>
          <w:iCs/>
        </w:rPr>
        <w:t>inescapable necessity”</w:t>
      </w:r>
      <w:r w:rsidR="00BE40BB">
        <w:rPr>
          <w:rFonts w:ascii="Times New Roman" w:hAnsi="Times New Roman" w:cs="Times New Roman"/>
        </w:rPr>
        <w:t xml:space="preserve">, </w:t>
      </w:r>
      <w:r w:rsidR="008321EB">
        <w:rPr>
          <w:rFonts w:ascii="Times New Roman" w:hAnsi="Times New Roman" w:cs="Times New Roman"/>
        </w:rPr>
        <w:t>or a pressing danger “</w:t>
      </w:r>
      <w:r w:rsidR="008321EB" w:rsidRPr="00234736">
        <w:rPr>
          <w:rFonts w:ascii="Times New Roman" w:hAnsi="Times New Roman" w:cs="Times New Roman"/>
          <w:i/>
          <w:iCs/>
        </w:rPr>
        <w:t>t</w:t>
      </w:r>
      <w:r w:rsidR="008321EB" w:rsidRPr="008321EB">
        <w:rPr>
          <w:rFonts w:ascii="Times New Roman" w:hAnsi="Times New Roman" w:cs="Times New Roman"/>
          <w:i/>
          <w:iCs/>
        </w:rPr>
        <w:t>o the accused, or possibly someone close to him</w:t>
      </w:r>
      <w:r w:rsidR="008321EB">
        <w:rPr>
          <w:rFonts w:ascii="Times New Roman" w:hAnsi="Times New Roman" w:cs="Times New Roman"/>
        </w:rPr>
        <w:t>”,</w:t>
      </w:r>
      <w:r w:rsidR="008321EB" w:rsidRPr="008C25EF">
        <w:rPr>
          <w:rFonts w:ascii="Times New Roman" w:hAnsi="Times New Roman" w:cs="Times New Roman"/>
        </w:rPr>
        <w:t xml:space="preserve"> </w:t>
      </w:r>
      <w:r w:rsidR="004A7E3C" w:rsidRPr="008C25EF">
        <w:rPr>
          <w:rFonts w:ascii="Times New Roman" w:hAnsi="Times New Roman" w:cs="Times New Roman"/>
        </w:rPr>
        <w:t>criteria</w:t>
      </w:r>
      <w:r w:rsidR="00BE40BB">
        <w:rPr>
          <w:rFonts w:ascii="Times New Roman" w:hAnsi="Times New Roman" w:cs="Times New Roman"/>
        </w:rPr>
        <w:t xml:space="preserve"> which are</w:t>
      </w:r>
      <w:r w:rsidR="00635F8D" w:rsidRPr="008C25EF">
        <w:rPr>
          <w:rFonts w:ascii="Times New Roman" w:hAnsi="Times New Roman" w:cs="Times New Roman"/>
        </w:rPr>
        <w:t xml:space="preserve"> </w:t>
      </w:r>
      <w:r w:rsidR="008321EB">
        <w:rPr>
          <w:rFonts w:ascii="Times New Roman" w:hAnsi="Times New Roman" w:cs="Times New Roman"/>
        </w:rPr>
        <w:t>required</w:t>
      </w:r>
      <w:r w:rsidR="00635F8D" w:rsidRPr="008321EB">
        <w:rPr>
          <w:rFonts w:ascii="Times New Roman" w:hAnsi="Times New Roman" w:cs="Times New Roman"/>
        </w:rPr>
        <w:t xml:space="preserve"> by Charleton and McDermott and adopted by the Court of Appeal.</w:t>
      </w:r>
    </w:p>
    <w:p w14:paraId="5F67888F" w14:textId="77777777" w:rsidR="00BE40BB" w:rsidRPr="00BE40BB" w:rsidRDefault="00BE40BB" w:rsidP="00824073">
      <w:pPr>
        <w:pStyle w:val="ListParagraph"/>
        <w:spacing w:line="360" w:lineRule="auto"/>
        <w:jc w:val="both"/>
        <w:rPr>
          <w:rFonts w:ascii="Times New Roman" w:eastAsia="Times New Roman" w:hAnsi="Times New Roman" w:cs="Times New Roman"/>
          <w:i/>
          <w:iCs/>
          <w:color w:val="212121"/>
          <w:lang w:eastAsia="en-GB"/>
        </w:rPr>
      </w:pPr>
    </w:p>
    <w:p w14:paraId="466BC705" w14:textId="68D3ABAD" w:rsidR="008C25EF" w:rsidRPr="008C25EF" w:rsidRDefault="0034084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In </w:t>
      </w:r>
      <w:r w:rsidRPr="008C25EF">
        <w:rPr>
          <w:rFonts w:ascii="Times New Roman" w:hAnsi="Times New Roman" w:cs="Times New Roman"/>
          <w:b/>
          <w:bCs/>
          <w:i/>
          <w:iCs/>
        </w:rPr>
        <w:t>R v</w:t>
      </w:r>
      <w:r w:rsidR="00BE40BB">
        <w:rPr>
          <w:rFonts w:ascii="Times New Roman" w:hAnsi="Times New Roman" w:cs="Times New Roman"/>
          <w:b/>
          <w:bCs/>
          <w:i/>
          <w:iCs/>
        </w:rPr>
        <w:t>.</w:t>
      </w:r>
      <w:r w:rsidRPr="008C25EF">
        <w:rPr>
          <w:rFonts w:ascii="Times New Roman" w:hAnsi="Times New Roman" w:cs="Times New Roman"/>
          <w:b/>
          <w:bCs/>
          <w:i/>
          <w:iCs/>
        </w:rPr>
        <w:t xml:space="preserve"> Martin </w:t>
      </w:r>
      <w:r w:rsidRPr="008C25EF">
        <w:rPr>
          <w:rFonts w:ascii="Times New Roman" w:hAnsi="Times New Roman" w:cs="Times New Roman"/>
          <w:b/>
          <w:bCs/>
        </w:rPr>
        <w:t>[</w:t>
      </w:r>
      <w:r w:rsidRPr="008C25EF">
        <w:rPr>
          <w:rFonts w:ascii="Times New Roman" w:hAnsi="Times New Roman" w:cs="Times New Roman"/>
        </w:rPr>
        <w:t>1989] 1 All ER 652 Simon Brown J</w:t>
      </w:r>
      <w:r w:rsidR="00BE40BB">
        <w:rPr>
          <w:rFonts w:ascii="Times New Roman" w:hAnsi="Times New Roman" w:cs="Times New Roman"/>
        </w:rPr>
        <w:t>.</w:t>
      </w:r>
      <w:r w:rsidRPr="008C25EF">
        <w:rPr>
          <w:rFonts w:ascii="Times New Roman" w:hAnsi="Times New Roman" w:cs="Times New Roman"/>
          <w:i/>
          <w:iCs/>
        </w:rPr>
        <w:t> </w:t>
      </w:r>
      <w:r w:rsidRPr="008C25EF">
        <w:rPr>
          <w:rFonts w:ascii="Times New Roman" w:hAnsi="Times New Roman" w:cs="Times New Roman"/>
        </w:rPr>
        <w:t xml:space="preserve">summarised similar elements to those espoused by Sir James Stephen, </w:t>
      </w:r>
      <w:r w:rsidR="00BE40BB">
        <w:rPr>
          <w:rFonts w:ascii="Times New Roman" w:hAnsi="Times New Roman" w:cs="Times New Roman"/>
        </w:rPr>
        <w:t>articulating the</w:t>
      </w:r>
      <w:r w:rsidRPr="008C25EF">
        <w:rPr>
          <w:rFonts w:ascii="Times New Roman" w:hAnsi="Times New Roman" w:cs="Times New Roman"/>
        </w:rPr>
        <w:t xml:space="preserve"> questions before the Court as follows</w:t>
      </w:r>
      <w:r w:rsidR="00BE40BB">
        <w:rPr>
          <w:rFonts w:ascii="Times New Roman" w:hAnsi="Times New Roman" w:cs="Times New Roman"/>
        </w:rPr>
        <w:t xml:space="preserve"> </w:t>
      </w:r>
      <w:r w:rsidR="00BE40BB" w:rsidRPr="008C25EF">
        <w:rPr>
          <w:rFonts w:ascii="Times New Roman" w:hAnsi="Times New Roman" w:cs="Times New Roman"/>
        </w:rPr>
        <w:t>(at §§11-13)</w:t>
      </w:r>
      <w:r w:rsidRPr="008C25EF">
        <w:rPr>
          <w:rFonts w:ascii="Times New Roman" w:hAnsi="Times New Roman" w:cs="Times New Roman"/>
        </w:rPr>
        <w:t>:</w:t>
      </w:r>
      <w:bookmarkStart w:id="0" w:name="para11"/>
    </w:p>
    <w:p w14:paraId="388C3D1C" w14:textId="77777777" w:rsidR="00BE40BB" w:rsidRDefault="00BE40BB" w:rsidP="00824073">
      <w:pPr>
        <w:pStyle w:val="ListParagraph"/>
        <w:spacing w:line="360" w:lineRule="auto"/>
        <w:jc w:val="both"/>
        <w:rPr>
          <w:rFonts w:ascii="Times New Roman" w:hAnsi="Times New Roman" w:cs="Times New Roman"/>
          <w:i/>
          <w:iCs/>
        </w:rPr>
      </w:pPr>
    </w:p>
    <w:p w14:paraId="38D76B35" w14:textId="3258BADF" w:rsidR="008C25EF" w:rsidRPr="00234736" w:rsidRDefault="00BE40BB"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340847" w:rsidRPr="00234736">
        <w:rPr>
          <w:rFonts w:ascii="Times New Roman" w:hAnsi="Times New Roman" w:cs="Times New Roman"/>
          <w:i/>
          <w:iCs/>
        </w:rPr>
        <w:t>First, English law does, in extreme circumstances, recognise a defence of necessity. Most commonly this defence arises as duress, that is pressure upon the accused</w:t>
      </w:r>
      <w:r w:rsidRPr="00234736">
        <w:rPr>
          <w:rFonts w:ascii="Times New Roman" w:hAnsi="Times New Roman" w:cs="Times New Roman"/>
          <w:i/>
          <w:iCs/>
        </w:rPr>
        <w:t>’</w:t>
      </w:r>
      <w:r w:rsidR="00340847" w:rsidRPr="00234736">
        <w:rPr>
          <w:rFonts w:ascii="Times New Roman" w:hAnsi="Times New Roman" w:cs="Times New Roman"/>
          <w:i/>
          <w:iCs/>
        </w:rPr>
        <w:t xml:space="preserve">s will from the wrongful threats or violence of another. Equally however it can arise from other objective dangers threatening the accused or others. Arising thus it is conveniently called </w:t>
      </w:r>
      <w:r w:rsidRPr="00234736">
        <w:rPr>
          <w:rFonts w:ascii="Times New Roman" w:hAnsi="Times New Roman" w:cs="Times New Roman"/>
          <w:i/>
          <w:iCs/>
        </w:rPr>
        <w:t>“</w:t>
      </w:r>
      <w:r w:rsidR="00340847" w:rsidRPr="00234736">
        <w:rPr>
          <w:rFonts w:ascii="Times New Roman" w:hAnsi="Times New Roman" w:cs="Times New Roman"/>
          <w:i/>
          <w:iCs/>
        </w:rPr>
        <w:t>duress of circumstances</w:t>
      </w:r>
      <w:r w:rsidRPr="00234736">
        <w:rPr>
          <w:rFonts w:ascii="Times New Roman" w:hAnsi="Times New Roman" w:cs="Times New Roman"/>
          <w:i/>
          <w:iCs/>
        </w:rPr>
        <w:t>”</w:t>
      </w:r>
      <w:r w:rsidR="00340847" w:rsidRPr="00234736">
        <w:rPr>
          <w:rFonts w:ascii="Times New Roman" w:hAnsi="Times New Roman" w:cs="Times New Roman"/>
          <w:i/>
          <w:iCs/>
        </w:rPr>
        <w:t>.</w:t>
      </w:r>
      <w:bookmarkStart w:id="1" w:name="para12"/>
      <w:bookmarkEnd w:id="0"/>
    </w:p>
    <w:p w14:paraId="1041ADCD" w14:textId="7CA4463A" w:rsidR="008C25EF" w:rsidRPr="00234736" w:rsidRDefault="00BE40BB"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340847" w:rsidRPr="00234736">
        <w:rPr>
          <w:rFonts w:ascii="Times New Roman" w:hAnsi="Times New Roman" w:cs="Times New Roman"/>
          <w:i/>
          <w:iCs/>
        </w:rPr>
        <w:t xml:space="preserve">Secondly, the defence is available only if, from an objective standpoint, the accused can be said to be acting reasonably and proportionately </w:t>
      </w:r>
      <w:proofErr w:type="gramStart"/>
      <w:r w:rsidR="00340847" w:rsidRPr="00234736">
        <w:rPr>
          <w:rFonts w:ascii="Times New Roman" w:hAnsi="Times New Roman" w:cs="Times New Roman"/>
          <w:i/>
          <w:iCs/>
        </w:rPr>
        <w:t>in order to</w:t>
      </w:r>
      <w:proofErr w:type="gramEnd"/>
      <w:r w:rsidR="00340847" w:rsidRPr="00234736">
        <w:rPr>
          <w:rFonts w:ascii="Times New Roman" w:hAnsi="Times New Roman" w:cs="Times New Roman"/>
          <w:i/>
          <w:iCs/>
        </w:rPr>
        <w:t xml:space="preserve"> avoid a threat of death or serious injury.</w:t>
      </w:r>
      <w:bookmarkStart w:id="2" w:name="para13"/>
      <w:bookmarkEnd w:id="1"/>
    </w:p>
    <w:p w14:paraId="7A8B35C6" w14:textId="2E4C8BD1" w:rsidR="008C25EF" w:rsidRPr="00234736" w:rsidRDefault="00BE40BB"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340847" w:rsidRPr="00234736">
        <w:rPr>
          <w:rFonts w:ascii="Times New Roman" w:hAnsi="Times New Roman" w:cs="Times New Roman"/>
          <w:i/>
          <w:iCs/>
        </w:rPr>
        <w:t>Third, assuming the defence to be open to the accused on his account of the facts, the issue should be left to the jury, who should be directed to determine these two questions: first, was the accused, or may he have been impelled to act as he did because as a result of what he reasonably believed to be the situation he had good cause to fear that otherwise death or serious physical injury would result? Second, if so, may a sober person of reasonable firmness, sharing the characteristics of the accused, have responded to that situation by acting as the accused acted, if the answer to both those questions was yes, then the jury would acquit: the defence of necessity would have been established.</w:t>
      </w:r>
      <w:bookmarkEnd w:id="2"/>
      <w:r w:rsidRPr="00234736">
        <w:rPr>
          <w:rFonts w:ascii="Times New Roman" w:hAnsi="Times New Roman" w:cs="Times New Roman"/>
          <w:i/>
          <w:iCs/>
        </w:rPr>
        <w:t>”</w:t>
      </w:r>
    </w:p>
    <w:p w14:paraId="72477F0E" w14:textId="77777777" w:rsidR="008C25EF" w:rsidRDefault="008C25EF" w:rsidP="00824073">
      <w:pPr>
        <w:spacing w:line="360" w:lineRule="auto"/>
        <w:jc w:val="both"/>
        <w:rPr>
          <w:rFonts w:ascii="Times New Roman" w:hAnsi="Times New Roman" w:cs="Times New Roman"/>
        </w:rPr>
      </w:pPr>
    </w:p>
    <w:p w14:paraId="6A3FC06C" w14:textId="49B758C8" w:rsidR="008C25EF" w:rsidRPr="008C25EF" w:rsidRDefault="0034084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The Court considered this against the factual background that the </w:t>
      </w:r>
      <w:r w:rsidR="00BE40BB">
        <w:rPr>
          <w:rFonts w:ascii="Times New Roman" w:hAnsi="Times New Roman" w:cs="Times New Roman"/>
        </w:rPr>
        <w:t>a</w:t>
      </w:r>
      <w:r w:rsidRPr="008C25EF">
        <w:rPr>
          <w:rFonts w:ascii="Times New Roman" w:hAnsi="Times New Roman" w:cs="Times New Roman"/>
        </w:rPr>
        <w:t>ppellant’s case was that he had driven while disqualified to bring his son to work only in circumstances where his wife (who suffered with evidenced mental health difficulties) had threatened to commit suicide if their son lost his job. The Court considered that the question before it was:</w:t>
      </w:r>
    </w:p>
    <w:p w14:paraId="46683564" w14:textId="77777777" w:rsidR="00BE40BB" w:rsidRDefault="00BE40BB" w:rsidP="00824073">
      <w:pPr>
        <w:pStyle w:val="ListParagraph"/>
        <w:spacing w:line="360" w:lineRule="auto"/>
        <w:jc w:val="both"/>
        <w:rPr>
          <w:rFonts w:ascii="Times New Roman" w:hAnsi="Times New Roman" w:cs="Times New Roman"/>
        </w:rPr>
      </w:pPr>
    </w:p>
    <w:p w14:paraId="56C24710" w14:textId="4FEA9043" w:rsidR="008C25EF" w:rsidRPr="00234736" w:rsidRDefault="00BE40BB" w:rsidP="00234736">
      <w:pPr>
        <w:spacing w:line="360" w:lineRule="auto"/>
        <w:ind w:left="644"/>
        <w:jc w:val="both"/>
        <w:rPr>
          <w:rFonts w:ascii="Times New Roman" w:hAnsi="Times New Roman" w:cs="Times New Roman"/>
          <w:i/>
          <w:iCs/>
        </w:rPr>
      </w:pPr>
      <w:bookmarkStart w:id="3" w:name="para9"/>
      <w:r w:rsidRPr="00234736">
        <w:rPr>
          <w:rFonts w:ascii="Times New Roman" w:hAnsi="Times New Roman" w:cs="Times New Roman"/>
        </w:rPr>
        <w:t>“</w:t>
      </w:r>
      <w:r w:rsidR="00340847" w:rsidRPr="00234736">
        <w:rPr>
          <w:rFonts w:ascii="Times New Roman" w:hAnsi="Times New Roman" w:cs="Times New Roman"/>
          <w:i/>
          <w:iCs/>
        </w:rPr>
        <w:t xml:space="preserve">Sceptically though one may regard that defence on the facts and there were, we would observe, striking difficulties about the detailed evidence when it came finally to be given </w:t>
      </w:r>
      <w:r w:rsidR="00340847" w:rsidRPr="00234736">
        <w:rPr>
          <w:rFonts w:ascii="Times New Roman" w:hAnsi="Times New Roman" w:cs="Times New Roman"/>
          <w:i/>
          <w:iCs/>
        </w:rPr>
        <w:lastRenderedPageBreak/>
        <w:t>before the Judge in mitigation</w:t>
      </w:r>
      <w:r w:rsidRPr="00234736">
        <w:rPr>
          <w:rFonts w:ascii="Times New Roman" w:hAnsi="Times New Roman" w:cs="Times New Roman"/>
          <w:i/>
          <w:iCs/>
        </w:rPr>
        <w:t>,</w:t>
      </w:r>
      <w:r w:rsidR="00340847" w:rsidRPr="00234736">
        <w:rPr>
          <w:rFonts w:ascii="Times New Roman" w:hAnsi="Times New Roman" w:cs="Times New Roman"/>
          <w:i/>
          <w:iCs/>
        </w:rPr>
        <w:t xml:space="preserve"> the sole question before this Court is whether those facts, had the jury accepted they were or might be true, amounted in law to a defence. If they did, then the appellant was entitled to a trial of the issue before the jury. The jury would of course have had to be directed properly upon the precise scope and nature of the defence, but the decision on the facts would have been for them. As it was, such a defence was pre-empted by the ruling. Should it have been?</w:t>
      </w:r>
      <w:bookmarkEnd w:id="3"/>
      <w:r w:rsidR="00CA2E57" w:rsidRPr="00234736">
        <w:rPr>
          <w:rFonts w:ascii="Times New Roman" w:hAnsi="Times New Roman" w:cs="Times New Roman"/>
          <w:i/>
          <w:iCs/>
        </w:rPr>
        <w:t>”</w:t>
      </w:r>
    </w:p>
    <w:p w14:paraId="43736C46" w14:textId="77777777" w:rsidR="00BE40BB" w:rsidRPr="00BE40BB" w:rsidRDefault="00BE40BB" w:rsidP="00824073">
      <w:pPr>
        <w:pStyle w:val="ListParagraph"/>
        <w:spacing w:line="360" w:lineRule="auto"/>
        <w:jc w:val="both"/>
        <w:rPr>
          <w:rFonts w:ascii="Times New Roman" w:eastAsia="Times New Roman" w:hAnsi="Times New Roman" w:cs="Times New Roman"/>
          <w:i/>
          <w:iCs/>
          <w:color w:val="212121"/>
          <w:lang w:eastAsia="en-GB"/>
        </w:rPr>
      </w:pPr>
    </w:p>
    <w:p w14:paraId="26715163" w14:textId="4F77493B" w:rsidR="008C25EF" w:rsidRPr="008C25EF" w:rsidRDefault="00340847"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The Court of Appeal</w:t>
      </w:r>
      <w:r w:rsidR="00BE40BB">
        <w:rPr>
          <w:rFonts w:ascii="Times New Roman" w:hAnsi="Times New Roman" w:cs="Times New Roman"/>
        </w:rPr>
        <w:t xml:space="preserve"> of England and Wales</w:t>
      </w:r>
      <w:r w:rsidRPr="008C25EF">
        <w:rPr>
          <w:rFonts w:ascii="Times New Roman" w:hAnsi="Times New Roman" w:cs="Times New Roman"/>
        </w:rPr>
        <w:t xml:space="preserve"> concluded that the </w:t>
      </w:r>
      <w:r w:rsidR="00BE40BB">
        <w:rPr>
          <w:rFonts w:ascii="Times New Roman" w:hAnsi="Times New Roman" w:cs="Times New Roman"/>
        </w:rPr>
        <w:t>a</w:t>
      </w:r>
      <w:r w:rsidRPr="008C25EF">
        <w:rPr>
          <w:rFonts w:ascii="Times New Roman" w:hAnsi="Times New Roman" w:cs="Times New Roman"/>
        </w:rPr>
        <w:t xml:space="preserve">ppellant should have been allowed to put this defence to the jury and that it was a matter for the jury to consider the probability of the defence on the facts (at </w:t>
      </w:r>
      <w:r w:rsidR="00BE40BB" w:rsidRPr="008C25EF">
        <w:rPr>
          <w:rFonts w:ascii="Times New Roman" w:hAnsi="Times New Roman" w:cs="Times New Roman"/>
        </w:rPr>
        <w:t>§</w:t>
      </w:r>
      <w:r w:rsidRPr="008C25EF">
        <w:rPr>
          <w:rFonts w:ascii="Times New Roman" w:hAnsi="Times New Roman" w:cs="Times New Roman"/>
        </w:rPr>
        <w:t>§17-18):</w:t>
      </w:r>
      <w:bookmarkStart w:id="4" w:name="para17"/>
      <w:bookmarkStart w:id="5" w:name="para18"/>
    </w:p>
    <w:p w14:paraId="369D3905" w14:textId="77777777" w:rsidR="00CA2E57" w:rsidRDefault="00CA2E57" w:rsidP="00824073">
      <w:pPr>
        <w:pStyle w:val="ListParagraph"/>
        <w:spacing w:line="360" w:lineRule="auto"/>
        <w:jc w:val="both"/>
        <w:rPr>
          <w:rFonts w:ascii="Times New Roman" w:hAnsi="Times New Roman" w:cs="Times New Roman"/>
          <w:i/>
          <w:iCs/>
        </w:rPr>
      </w:pPr>
    </w:p>
    <w:p w14:paraId="65FBDFA3" w14:textId="74AD4782" w:rsidR="008C25EF" w:rsidRPr="00234736" w:rsidRDefault="00BE40BB"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340847" w:rsidRPr="00234736">
        <w:rPr>
          <w:rFonts w:ascii="Times New Roman" w:hAnsi="Times New Roman" w:cs="Times New Roman"/>
          <w:i/>
          <w:iCs/>
        </w:rPr>
        <w:t>It follows from this that the Judge quite clearly did come to a wrong decision on the question of. law, and the appellant should have been permitted to raise this defence for what it was worth before the jury.</w:t>
      </w:r>
      <w:bookmarkEnd w:id="4"/>
    </w:p>
    <w:p w14:paraId="1CAEE3A8" w14:textId="50038498" w:rsidR="008C25EF" w:rsidRPr="00234736" w:rsidRDefault="00234736" w:rsidP="00234736">
      <w:pPr>
        <w:spacing w:line="360" w:lineRule="auto"/>
        <w:ind w:left="644"/>
        <w:jc w:val="both"/>
        <w:rPr>
          <w:rFonts w:ascii="Times New Roman" w:hAnsi="Times New Roman" w:cs="Times New Roman"/>
          <w:i/>
          <w:iCs/>
        </w:rPr>
      </w:pPr>
      <w:r>
        <w:rPr>
          <w:rFonts w:ascii="Times New Roman" w:hAnsi="Times New Roman" w:cs="Times New Roman"/>
          <w:i/>
          <w:iCs/>
        </w:rPr>
        <w:t>“</w:t>
      </w:r>
      <w:r w:rsidR="00340847" w:rsidRPr="00234736">
        <w:rPr>
          <w:rFonts w:ascii="Times New Roman" w:hAnsi="Times New Roman" w:cs="Times New Roman"/>
          <w:i/>
          <w:iCs/>
        </w:rPr>
        <w:t xml:space="preserve">It is in our judgment a great pity that that course was not taken. It is difficult to believe that any jury would in fact have swallowed the improbable story which this defendant desired to advance. There was, it emerged when evidence was given in mitigation, in the house at the time a brother of the boy who was late for work, who was licensed to drive, and available to do so the suggestion was that he would not take his brother because of </w:t>
      </w:r>
      <w:r w:rsidR="00CA2E57" w:rsidRPr="00234736">
        <w:rPr>
          <w:rFonts w:ascii="Times New Roman" w:hAnsi="Times New Roman" w:cs="Times New Roman"/>
          <w:i/>
          <w:iCs/>
        </w:rPr>
        <w:t>“</w:t>
      </w:r>
      <w:r w:rsidR="00340847" w:rsidRPr="00234736">
        <w:rPr>
          <w:rFonts w:ascii="Times New Roman" w:hAnsi="Times New Roman" w:cs="Times New Roman"/>
          <w:i/>
          <w:iCs/>
        </w:rPr>
        <w:t>a lot of aggravation in the house between them</w:t>
      </w:r>
      <w:r w:rsidR="00CA2E57" w:rsidRPr="00234736">
        <w:rPr>
          <w:rFonts w:ascii="Times New Roman" w:hAnsi="Times New Roman" w:cs="Times New Roman"/>
          <w:i/>
          <w:iCs/>
        </w:rPr>
        <w:t>”</w:t>
      </w:r>
      <w:r w:rsidR="00340847" w:rsidRPr="00234736">
        <w:rPr>
          <w:rFonts w:ascii="Times New Roman" w:hAnsi="Times New Roman" w:cs="Times New Roman"/>
          <w:i/>
          <w:iCs/>
        </w:rPr>
        <w:t xml:space="preserve">. It is a further striking fact that when apprehended by the police this appellant was wholly silent as to why on this </w:t>
      </w:r>
      <w:proofErr w:type="gramStart"/>
      <w:r w:rsidR="00340847" w:rsidRPr="00234736">
        <w:rPr>
          <w:rFonts w:ascii="Times New Roman" w:hAnsi="Times New Roman" w:cs="Times New Roman"/>
          <w:i/>
          <w:iCs/>
        </w:rPr>
        <w:t>occasion</w:t>
      </w:r>
      <w:proofErr w:type="gramEnd"/>
      <w:r w:rsidR="00340847" w:rsidRPr="00234736">
        <w:rPr>
          <w:rFonts w:ascii="Times New Roman" w:hAnsi="Times New Roman" w:cs="Times New Roman"/>
          <w:i/>
          <w:iCs/>
        </w:rPr>
        <w:t xml:space="preserve"> he had felt constrained to drive. But those considerations, in our judgment, were essentially for the jury, and we have concluded, although not without hesitation, that it would be inappropriate here to apply the proviso.</w:t>
      </w:r>
      <w:bookmarkEnd w:id="5"/>
      <w:r w:rsidR="00BE40BB" w:rsidRPr="00234736">
        <w:rPr>
          <w:rFonts w:ascii="Times New Roman" w:hAnsi="Times New Roman" w:cs="Times New Roman"/>
          <w:i/>
          <w:iCs/>
        </w:rPr>
        <w:t>”</w:t>
      </w:r>
    </w:p>
    <w:p w14:paraId="37C3580A" w14:textId="77777777" w:rsidR="008C25EF" w:rsidRDefault="008C25EF" w:rsidP="00824073">
      <w:pPr>
        <w:spacing w:line="360" w:lineRule="auto"/>
        <w:jc w:val="both"/>
        <w:rPr>
          <w:rFonts w:ascii="Times New Roman" w:hAnsi="Times New Roman" w:cs="Times New Roman"/>
        </w:rPr>
      </w:pPr>
    </w:p>
    <w:p w14:paraId="750FEA86" w14:textId="77777777" w:rsidR="00CA2E57" w:rsidRPr="00CA2E57" w:rsidRDefault="00340847" w:rsidP="00CA2E57">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CA2E57">
        <w:rPr>
          <w:rFonts w:ascii="Times New Roman" w:hAnsi="Times New Roman" w:cs="Times New Roman"/>
        </w:rPr>
        <w:t>Th</w:t>
      </w:r>
      <w:r w:rsidR="00CA2E57">
        <w:rPr>
          <w:rFonts w:ascii="Times New Roman" w:hAnsi="Times New Roman" w:cs="Times New Roman"/>
        </w:rPr>
        <w:t xml:space="preserve">is part of the judgment appears of </w:t>
      </w:r>
      <w:proofErr w:type="gramStart"/>
      <w:r w:rsidR="00CA2E57">
        <w:rPr>
          <w:rFonts w:ascii="Times New Roman" w:hAnsi="Times New Roman" w:cs="Times New Roman"/>
        </w:rPr>
        <w:t>particular note</w:t>
      </w:r>
      <w:proofErr w:type="gramEnd"/>
      <w:r w:rsidR="00CA2E57">
        <w:rPr>
          <w:rFonts w:ascii="Times New Roman" w:hAnsi="Times New Roman" w:cs="Times New Roman"/>
        </w:rPr>
        <w:t xml:space="preserve"> </w:t>
      </w:r>
      <w:r w:rsidRPr="00CA2E57">
        <w:rPr>
          <w:rFonts w:ascii="Times New Roman" w:hAnsi="Times New Roman" w:cs="Times New Roman"/>
        </w:rPr>
        <w:t xml:space="preserve">to the present </w:t>
      </w:r>
      <w:r w:rsidR="00CA2E57" w:rsidRPr="00CA2E57">
        <w:rPr>
          <w:rFonts w:ascii="Times New Roman" w:hAnsi="Times New Roman" w:cs="Times New Roman"/>
        </w:rPr>
        <w:t>A</w:t>
      </w:r>
      <w:r w:rsidRPr="00CA2E57">
        <w:rPr>
          <w:rFonts w:ascii="Times New Roman" w:hAnsi="Times New Roman" w:cs="Times New Roman"/>
        </w:rPr>
        <w:t xml:space="preserve">ppeal. </w:t>
      </w:r>
    </w:p>
    <w:p w14:paraId="1F8840F9" w14:textId="77777777" w:rsidR="00CA2E57" w:rsidRPr="00CA2E57" w:rsidRDefault="00CA2E57" w:rsidP="00CA2E57">
      <w:pPr>
        <w:pStyle w:val="ListParagraph"/>
        <w:spacing w:line="360" w:lineRule="auto"/>
        <w:ind w:left="644"/>
        <w:jc w:val="both"/>
        <w:rPr>
          <w:rFonts w:ascii="Times New Roman" w:eastAsia="Times New Roman" w:hAnsi="Times New Roman" w:cs="Times New Roman"/>
          <w:i/>
          <w:iCs/>
          <w:color w:val="212121"/>
          <w:lang w:eastAsia="en-GB"/>
        </w:rPr>
      </w:pPr>
    </w:p>
    <w:p w14:paraId="245C443D" w14:textId="652471A1" w:rsidR="008C25EF" w:rsidRPr="00CA2E57" w:rsidRDefault="00CA2E57" w:rsidP="00CA2E57">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hAnsi="Times New Roman" w:cs="Times New Roman"/>
        </w:rPr>
        <w:t xml:space="preserve">Furthermore, the elements of the defence of necessity as stated in </w:t>
      </w:r>
      <w:r w:rsidR="00BE40BB" w:rsidRPr="00CA2E57">
        <w:rPr>
          <w:rFonts w:ascii="Times New Roman" w:hAnsi="Times New Roman" w:cs="Times New Roman"/>
          <w:b/>
          <w:bCs/>
          <w:i/>
          <w:iCs/>
        </w:rPr>
        <w:t>Martin</w:t>
      </w:r>
      <w:r w:rsidR="00BE40BB" w:rsidRPr="00CA2E57">
        <w:rPr>
          <w:rFonts w:ascii="Times New Roman" w:hAnsi="Times New Roman" w:cs="Times New Roman"/>
        </w:rPr>
        <w:t xml:space="preserve"> (bearing in mind that the law in England and Wales had tended to conflate duress of circumstance and necessity) w</w:t>
      </w:r>
      <w:r>
        <w:rPr>
          <w:rFonts w:ascii="Times New Roman" w:hAnsi="Times New Roman" w:cs="Times New Roman"/>
        </w:rPr>
        <w:t>ere</w:t>
      </w:r>
      <w:r w:rsidR="00BE40BB" w:rsidRPr="00CA2E57">
        <w:rPr>
          <w:rFonts w:ascii="Times New Roman" w:hAnsi="Times New Roman" w:cs="Times New Roman"/>
        </w:rPr>
        <w:t xml:space="preserve"> approved of by </w:t>
      </w:r>
      <w:r w:rsidR="00340847" w:rsidRPr="00CA2E57">
        <w:rPr>
          <w:rFonts w:ascii="Times New Roman" w:hAnsi="Times New Roman" w:cs="Times New Roman"/>
        </w:rPr>
        <w:t>Rose L</w:t>
      </w:r>
      <w:r w:rsidR="00BE40BB" w:rsidRPr="00CA2E57">
        <w:rPr>
          <w:rFonts w:ascii="Times New Roman" w:hAnsi="Times New Roman" w:cs="Times New Roman"/>
        </w:rPr>
        <w:t>.</w:t>
      </w:r>
      <w:r w:rsidR="00340847" w:rsidRPr="00CA2E57">
        <w:rPr>
          <w:rFonts w:ascii="Times New Roman" w:hAnsi="Times New Roman" w:cs="Times New Roman"/>
        </w:rPr>
        <w:t>J</w:t>
      </w:r>
      <w:r w:rsidR="00BE40BB" w:rsidRPr="00CA2E57">
        <w:rPr>
          <w:rFonts w:ascii="Times New Roman" w:hAnsi="Times New Roman" w:cs="Times New Roman"/>
        </w:rPr>
        <w:t>.</w:t>
      </w:r>
      <w:r w:rsidR="00340847" w:rsidRPr="00CA2E57">
        <w:rPr>
          <w:rFonts w:ascii="Times New Roman" w:hAnsi="Times New Roman" w:cs="Times New Roman"/>
        </w:rPr>
        <w:t xml:space="preserve"> for the Court of Appeal </w:t>
      </w:r>
      <w:r w:rsidR="00BE40BB" w:rsidRPr="00CA2E57">
        <w:rPr>
          <w:rFonts w:ascii="Times New Roman" w:hAnsi="Times New Roman" w:cs="Times New Roman"/>
        </w:rPr>
        <w:t xml:space="preserve">of England and </w:t>
      </w:r>
      <w:r w:rsidR="00B0603E" w:rsidRPr="00CA2E57">
        <w:rPr>
          <w:rFonts w:ascii="Times New Roman" w:hAnsi="Times New Roman" w:cs="Times New Roman"/>
        </w:rPr>
        <w:t>W</w:t>
      </w:r>
      <w:r w:rsidR="00BE40BB" w:rsidRPr="00CA2E57">
        <w:rPr>
          <w:rFonts w:ascii="Times New Roman" w:hAnsi="Times New Roman" w:cs="Times New Roman"/>
        </w:rPr>
        <w:t xml:space="preserve">ales </w:t>
      </w:r>
      <w:r w:rsidR="00340847" w:rsidRPr="00CA2E57">
        <w:rPr>
          <w:rFonts w:ascii="Times New Roman" w:hAnsi="Times New Roman" w:cs="Times New Roman"/>
        </w:rPr>
        <w:t xml:space="preserve">in </w:t>
      </w:r>
      <w:r w:rsidR="00340847" w:rsidRPr="00CA2E57">
        <w:rPr>
          <w:rFonts w:ascii="Times New Roman" w:hAnsi="Times New Roman" w:cs="Times New Roman"/>
          <w:b/>
          <w:bCs/>
          <w:i/>
          <w:iCs/>
        </w:rPr>
        <w:t>R v</w:t>
      </w:r>
      <w:r>
        <w:rPr>
          <w:rFonts w:ascii="Times New Roman" w:hAnsi="Times New Roman" w:cs="Times New Roman"/>
          <w:b/>
          <w:bCs/>
          <w:i/>
          <w:iCs/>
        </w:rPr>
        <w:t>.</w:t>
      </w:r>
      <w:r w:rsidR="00340847" w:rsidRPr="00CA2E57">
        <w:rPr>
          <w:rFonts w:ascii="Times New Roman" w:hAnsi="Times New Roman" w:cs="Times New Roman"/>
          <w:b/>
          <w:bCs/>
          <w:i/>
          <w:iCs/>
        </w:rPr>
        <w:t xml:space="preserve"> Abdul-Hussain</w:t>
      </w:r>
      <w:r w:rsidR="00340847" w:rsidRPr="00CA2E57">
        <w:rPr>
          <w:rFonts w:ascii="Times New Roman" w:hAnsi="Times New Roman" w:cs="Times New Roman"/>
        </w:rPr>
        <w:t xml:space="preserve"> [1999] Crim LR 570. </w:t>
      </w:r>
      <w:r w:rsidR="00750BEC" w:rsidRPr="00CA2E57">
        <w:rPr>
          <w:rFonts w:ascii="Times New Roman" w:hAnsi="Times New Roman" w:cs="Times New Roman"/>
        </w:rPr>
        <w:t xml:space="preserve">The Defendants in the case had </w:t>
      </w:r>
      <w:proofErr w:type="gramStart"/>
      <w:r w:rsidR="00750BEC" w:rsidRPr="00CA2E57">
        <w:rPr>
          <w:rFonts w:ascii="Times New Roman" w:hAnsi="Times New Roman" w:cs="Times New Roman"/>
        </w:rPr>
        <w:t>made</w:t>
      </w:r>
      <w:r w:rsidR="00340847" w:rsidRPr="00CA2E57">
        <w:rPr>
          <w:rFonts w:ascii="Times New Roman" w:hAnsi="Times New Roman" w:cs="Times New Roman"/>
        </w:rPr>
        <w:t xml:space="preserve"> a plan</w:t>
      </w:r>
      <w:proofErr w:type="gramEnd"/>
      <w:r w:rsidR="00340847" w:rsidRPr="00CA2E57">
        <w:rPr>
          <w:rFonts w:ascii="Times New Roman" w:hAnsi="Times New Roman" w:cs="Times New Roman"/>
        </w:rPr>
        <w:t xml:space="preserve"> on 8 August 1996 to hijack a plane to avoid being deported to Iraq, where they feared persecution. Less than two weeks </w:t>
      </w:r>
      <w:r w:rsidR="0053072C" w:rsidRPr="00CA2E57">
        <w:rPr>
          <w:rFonts w:ascii="Times New Roman" w:hAnsi="Times New Roman" w:cs="Times New Roman"/>
        </w:rPr>
        <w:t>later</w:t>
      </w:r>
      <w:r w:rsidR="00340847" w:rsidRPr="00CA2E57">
        <w:rPr>
          <w:rFonts w:ascii="Times New Roman" w:hAnsi="Times New Roman" w:cs="Times New Roman"/>
        </w:rPr>
        <w:t xml:space="preserve"> (on 27 August) they hijacked a plane which landed in </w:t>
      </w:r>
      <w:proofErr w:type="gramStart"/>
      <w:r w:rsidR="00340847" w:rsidRPr="00CA2E57">
        <w:rPr>
          <w:rFonts w:ascii="Times New Roman" w:hAnsi="Times New Roman" w:cs="Times New Roman"/>
        </w:rPr>
        <w:t>England</w:t>
      </w:r>
      <w:proofErr w:type="gramEnd"/>
      <w:r w:rsidR="00340847" w:rsidRPr="00CA2E57">
        <w:rPr>
          <w:rFonts w:ascii="Times New Roman" w:hAnsi="Times New Roman" w:cs="Times New Roman"/>
        </w:rPr>
        <w:t xml:space="preserve"> and they were charged with offences under the UK Aviation </w:t>
      </w:r>
      <w:r w:rsidR="00340847" w:rsidRPr="00CA2E57">
        <w:rPr>
          <w:rFonts w:ascii="Times New Roman" w:hAnsi="Times New Roman" w:cs="Times New Roman"/>
        </w:rPr>
        <w:lastRenderedPageBreak/>
        <w:t xml:space="preserve">Security Act 1982. The trial judge refused to let the defence of duress go to the jury on the basis that the threat was insufficiently close and immediate to give rise to a spontaneous reaction to the risk arising. The Court of Appeal quashed their convictions and held that the trial judge had interpreted the law too strictly. With reference to </w:t>
      </w:r>
      <w:r w:rsidR="00340847" w:rsidRPr="00CA2E57">
        <w:rPr>
          <w:rFonts w:ascii="Times New Roman" w:hAnsi="Times New Roman" w:cs="Times New Roman"/>
          <w:b/>
          <w:bCs/>
          <w:i/>
          <w:iCs/>
        </w:rPr>
        <w:t>Martin</w:t>
      </w:r>
      <w:r w:rsidR="00340847" w:rsidRPr="00CA2E57">
        <w:rPr>
          <w:rFonts w:ascii="Times New Roman" w:hAnsi="Times New Roman" w:cs="Times New Roman"/>
        </w:rPr>
        <w:t>, Rose L</w:t>
      </w:r>
      <w:r>
        <w:rPr>
          <w:rFonts w:ascii="Times New Roman" w:hAnsi="Times New Roman" w:cs="Times New Roman"/>
        </w:rPr>
        <w:t>.</w:t>
      </w:r>
      <w:r w:rsidR="00340847" w:rsidRPr="00CA2E57">
        <w:rPr>
          <w:rFonts w:ascii="Times New Roman" w:hAnsi="Times New Roman" w:cs="Times New Roman"/>
        </w:rPr>
        <w:t>J</w:t>
      </w:r>
      <w:r>
        <w:rPr>
          <w:rFonts w:ascii="Times New Roman" w:hAnsi="Times New Roman" w:cs="Times New Roman"/>
        </w:rPr>
        <w:t>.</w:t>
      </w:r>
      <w:r w:rsidR="00340847" w:rsidRPr="00CA2E57">
        <w:rPr>
          <w:rFonts w:ascii="Times New Roman" w:hAnsi="Times New Roman" w:cs="Times New Roman"/>
        </w:rPr>
        <w:t xml:space="preserve"> confirmed that</w:t>
      </w:r>
      <w:r>
        <w:rPr>
          <w:rFonts w:ascii="Times New Roman" w:hAnsi="Times New Roman" w:cs="Times New Roman"/>
        </w:rPr>
        <w:t>,</w:t>
      </w:r>
      <w:r w:rsidR="00340847" w:rsidRPr="00CA2E57">
        <w:rPr>
          <w:rFonts w:ascii="Times New Roman" w:hAnsi="Times New Roman" w:cs="Times New Roman"/>
        </w:rPr>
        <w:t xml:space="preserve"> while imminent peril of death or serious injury was an essential feature of both forms of duress, this threat need not be immediate. He referred to the imprecision in the law on duress in concluding that a case-by-case analysis of the defence was appropriate. </w:t>
      </w:r>
    </w:p>
    <w:p w14:paraId="1CD52043" w14:textId="77777777" w:rsidR="00BE40BB" w:rsidRDefault="00BE40BB" w:rsidP="00824073">
      <w:pPr>
        <w:pStyle w:val="NoSpacing"/>
        <w:spacing w:line="360" w:lineRule="auto"/>
        <w:ind w:left="720"/>
        <w:jc w:val="both"/>
        <w:rPr>
          <w:rFonts w:ascii="Times New Roman" w:hAnsi="Times New Roman" w:cs="Times New Roman"/>
        </w:rPr>
      </w:pPr>
    </w:p>
    <w:p w14:paraId="39D388D5" w14:textId="63C52E6E" w:rsidR="00BE40BB" w:rsidRDefault="00BE40BB" w:rsidP="00824073">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Notably, in the case of </w:t>
      </w:r>
      <w:r w:rsidRPr="00BE40BB">
        <w:rPr>
          <w:rFonts w:ascii="Times New Roman" w:hAnsi="Times New Roman" w:cs="Times New Roman"/>
          <w:b/>
          <w:bCs/>
          <w:i/>
          <w:iCs/>
        </w:rPr>
        <w:t>Thacker</w:t>
      </w:r>
      <w:r>
        <w:rPr>
          <w:rFonts w:ascii="Times New Roman" w:hAnsi="Times New Roman" w:cs="Times New Roman"/>
        </w:rPr>
        <w:t xml:space="preserve">, endorsed in some </w:t>
      </w:r>
      <w:proofErr w:type="gramStart"/>
      <w:r>
        <w:rPr>
          <w:rFonts w:ascii="Times New Roman" w:hAnsi="Times New Roman" w:cs="Times New Roman"/>
        </w:rPr>
        <w:t>aspects</w:t>
      </w:r>
      <w:proofErr w:type="gramEnd"/>
      <w:r>
        <w:rPr>
          <w:rFonts w:ascii="Times New Roman" w:hAnsi="Times New Roman" w:cs="Times New Roman"/>
        </w:rPr>
        <w:t xml:space="preserve"> by the Court of Appeal in the </w:t>
      </w:r>
      <w:r w:rsidR="00CA2E57">
        <w:rPr>
          <w:rFonts w:ascii="Times New Roman" w:hAnsi="Times New Roman" w:cs="Times New Roman"/>
        </w:rPr>
        <w:t xml:space="preserve">herein </w:t>
      </w:r>
      <w:r>
        <w:rPr>
          <w:rFonts w:ascii="Times New Roman" w:hAnsi="Times New Roman" w:cs="Times New Roman"/>
        </w:rPr>
        <w:t xml:space="preserve">Appellant’s case, less stringent tests for necessity were advanced on behalf of the accused and were not rejected by the Court of Appeal of England and Wales. They included the passage from Simon Brown J. referred to above. </w:t>
      </w:r>
    </w:p>
    <w:p w14:paraId="03352A73" w14:textId="77777777" w:rsidR="00BE40BB" w:rsidRPr="00CA2E57" w:rsidRDefault="00BE40BB" w:rsidP="00CA2E57">
      <w:pPr>
        <w:spacing w:line="360" w:lineRule="auto"/>
        <w:rPr>
          <w:rFonts w:ascii="Times New Roman" w:hAnsi="Times New Roman" w:cs="Times New Roman"/>
        </w:rPr>
      </w:pPr>
    </w:p>
    <w:p w14:paraId="3BD7E88A" w14:textId="5C79997E" w:rsidR="00CA2E57" w:rsidRDefault="00BE40BB" w:rsidP="00824073">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T</w:t>
      </w:r>
      <w:r w:rsidRPr="00BE40BB">
        <w:rPr>
          <w:rFonts w:ascii="Times New Roman" w:hAnsi="Times New Roman" w:cs="Times New Roman"/>
        </w:rPr>
        <w:t>he approach articulated in Charleton and McDermott’s text</w:t>
      </w:r>
      <w:r w:rsidR="00AA064A">
        <w:rPr>
          <w:rFonts w:ascii="Times New Roman" w:hAnsi="Times New Roman" w:cs="Times New Roman"/>
        </w:rPr>
        <w:t>book</w:t>
      </w:r>
      <w:r w:rsidRPr="00BE40BB">
        <w:rPr>
          <w:rFonts w:ascii="Times New Roman" w:hAnsi="Times New Roman" w:cs="Times New Roman"/>
        </w:rPr>
        <w:t xml:space="preserve"> points to four limitations which it </w:t>
      </w:r>
      <w:proofErr w:type="gramStart"/>
      <w:r w:rsidRPr="00BE40BB">
        <w:rPr>
          <w:rFonts w:ascii="Times New Roman" w:hAnsi="Times New Roman" w:cs="Times New Roman"/>
        </w:rPr>
        <w:t>says</w:t>
      </w:r>
      <w:proofErr w:type="gramEnd"/>
      <w:r w:rsidRPr="00BE40BB">
        <w:rPr>
          <w:rFonts w:ascii="Times New Roman" w:hAnsi="Times New Roman" w:cs="Times New Roman"/>
        </w:rPr>
        <w:t xml:space="preserve"> “</w:t>
      </w:r>
      <w:r w:rsidRPr="00234736">
        <w:rPr>
          <w:rFonts w:ascii="Times New Roman" w:hAnsi="Times New Roman" w:cs="Times New Roman"/>
          <w:i/>
          <w:iCs/>
        </w:rPr>
        <w:t>seem to have been strictly required</w:t>
      </w:r>
      <w:r w:rsidRPr="00BE40BB">
        <w:rPr>
          <w:rFonts w:ascii="Times New Roman" w:hAnsi="Times New Roman" w:cs="Times New Roman"/>
        </w:rPr>
        <w:t>”. The first is that there is a pressing danger “</w:t>
      </w:r>
      <w:r w:rsidRPr="00234736">
        <w:rPr>
          <w:rFonts w:ascii="Times New Roman" w:hAnsi="Times New Roman" w:cs="Times New Roman"/>
          <w:i/>
          <w:iCs/>
        </w:rPr>
        <w:t>to the accused, or possibly someone close to him</w:t>
      </w:r>
      <w:r w:rsidRPr="00BE40BB">
        <w:rPr>
          <w:rFonts w:ascii="Times New Roman" w:hAnsi="Times New Roman" w:cs="Times New Roman"/>
        </w:rPr>
        <w:t>”. This, if correct, would probably rule out most protestors, because most protestors are likely to be campaigning against actions that affect others who are not necessarily “</w:t>
      </w:r>
      <w:r w:rsidRPr="00234736">
        <w:rPr>
          <w:rFonts w:ascii="Times New Roman" w:hAnsi="Times New Roman" w:cs="Times New Roman"/>
          <w:i/>
          <w:iCs/>
        </w:rPr>
        <w:t xml:space="preserve">close to </w:t>
      </w:r>
      <w:r w:rsidR="00234736">
        <w:rPr>
          <w:rFonts w:ascii="Times New Roman" w:hAnsi="Times New Roman" w:cs="Times New Roman"/>
          <w:i/>
          <w:iCs/>
        </w:rPr>
        <w:t>[</w:t>
      </w:r>
      <w:r w:rsidRPr="00234736">
        <w:rPr>
          <w:rFonts w:ascii="Times New Roman" w:hAnsi="Times New Roman" w:cs="Times New Roman"/>
          <w:i/>
          <w:iCs/>
        </w:rPr>
        <w:t>the</w:t>
      </w:r>
      <w:r w:rsidR="00234736">
        <w:rPr>
          <w:rFonts w:ascii="Times New Roman" w:hAnsi="Times New Roman" w:cs="Times New Roman"/>
          <w:i/>
          <w:iCs/>
        </w:rPr>
        <w:t>]</w:t>
      </w:r>
      <w:r w:rsidRPr="00234736">
        <w:rPr>
          <w:rFonts w:ascii="Times New Roman" w:hAnsi="Times New Roman" w:cs="Times New Roman"/>
          <w:i/>
          <w:iCs/>
        </w:rPr>
        <w:t>m</w:t>
      </w:r>
      <w:r w:rsidRPr="00BE40BB">
        <w:rPr>
          <w:rFonts w:ascii="Times New Roman" w:hAnsi="Times New Roman" w:cs="Times New Roman"/>
        </w:rPr>
        <w:t>”</w:t>
      </w:r>
      <w:r w:rsidR="00CA2E57">
        <w:rPr>
          <w:rFonts w:ascii="Times New Roman" w:hAnsi="Times New Roman" w:cs="Times New Roman"/>
        </w:rPr>
        <w:t xml:space="preserve">. It is difficult to see, as a matter of principle, why the defence would only apply if the accused or a person closes to him was endangered. Action to protect a person at grave risk is surely merited whether one knows them or not. </w:t>
      </w:r>
    </w:p>
    <w:p w14:paraId="6500C781" w14:textId="77777777" w:rsidR="00CA2E57" w:rsidRDefault="00CA2E57" w:rsidP="00CA2E57">
      <w:pPr>
        <w:pStyle w:val="ListParagraph"/>
        <w:rPr>
          <w:rFonts w:ascii="Times New Roman" w:hAnsi="Times New Roman" w:cs="Times New Roman"/>
        </w:rPr>
      </w:pPr>
    </w:p>
    <w:p w14:paraId="2EADC819" w14:textId="09597A11" w:rsidR="00BE40BB" w:rsidRDefault="00AA064A" w:rsidP="00824073">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The Law Reform Commission’s </w:t>
      </w:r>
      <w:r w:rsidRPr="00AA064A">
        <w:rPr>
          <w:rFonts w:ascii="Times New Roman" w:hAnsi="Times New Roman" w:cs="Times New Roman"/>
          <w:i/>
          <w:iCs/>
        </w:rPr>
        <w:t>Consultation Paper on Duress and Necessity</w:t>
      </w:r>
      <w:r>
        <w:rPr>
          <w:rFonts w:ascii="Times New Roman" w:hAnsi="Times New Roman" w:cs="Times New Roman"/>
        </w:rPr>
        <w:t xml:space="preserve">, published in 2006, includes a discussion of the defence of necessity in </w:t>
      </w:r>
      <w:proofErr w:type="gramStart"/>
      <w:r>
        <w:rPr>
          <w:rFonts w:ascii="Times New Roman" w:hAnsi="Times New Roman" w:cs="Times New Roman"/>
        </w:rPr>
        <w:t>a number of</w:t>
      </w:r>
      <w:proofErr w:type="gramEnd"/>
      <w:r>
        <w:rPr>
          <w:rFonts w:ascii="Times New Roman" w:hAnsi="Times New Roman" w:cs="Times New Roman"/>
        </w:rPr>
        <w:t xml:space="preserve"> countries (at pp. 106-115, including Australia, Canada, South </w:t>
      </w:r>
      <w:proofErr w:type="gramStart"/>
      <w:r>
        <w:rPr>
          <w:rFonts w:ascii="Times New Roman" w:hAnsi="Times New Roman" w:cs="Times New Roman"/>
        </w:rPr>
        <w:t>Africa,,</w:t>
      </w:r>
      <w:proofErr w:type="gramEnd"/>
      <w:r>
        <w:rPr>
          <w:rFonts w:ascii="Times New Roman" w:hAnsi="Times New Roman" w:cs="Times New Roman"/>
        </w:rPr>
        <w:t xml:space="preserve"> Germany and Italy</w:t>
      </w:r>
      <w:r w:rsidR="00CA2E57">
        <w:rPr>
          <w:rFonts w:ascii="Times New Roman" w:hAnsi="Times New Roman" w:cs="Times New Roman"/>
        </w:rPr>
        <w:t>)</w:t>
      </w:r>
      <w:r>
        <w:rPr>
          <w:rFonts w:ascii="Times New Roman" w:hAnsi="Times New Roman" w:cs="Times New Roman"/>
        </w:rPr>
        <w:t>. Whilst the defence is undoubtedly approached restrictively</w:t>
      </w:r>
      <w:r w:rsidR="00CA2E57">
        <w:rPr>
          <w:rFonts w:ascii="Times New Roman" w:hAnsi="Times New Roman" w:cs="Times New Roman"/>
        </w:rPr>
        <w:t xml:space="preserve"> for sound policy reasons</w:t>
      </w:r>
      <w:r>
        <w:rPr>
          <w:rFonts w:ascii="Times New Roman" w:hAnsi="Times New Roman" w:cs="Times New Roman"/>
        </w:rPr>
        <w:t>, it does not appear that the four limitations set out in Charleton and McDermott’s textbook are imperative; or, at least, there should be scope for some flexibility to take account of the facts of a particular case, in keeping with the spirit of the common law.</w:t>
      </w:r>
    </w:p>
    <w:p w14:paraId="510D22FB" w14:textId="77777777" w:rsidR="00A07A7C" w:rsidRPr="00CA2E57" w:rsidRDefault="00A07A7C" w:rsidP="00CA2E57">
      <w:pPr>
        <w:spacing w:line="360" w:lineRule="auto"/>
        <w:jc w:val="both"/>
        <w:rPr>
          <w:rFonts w:ascii="Times New Roman" w:eastAsia="Times New Roman" w:hAnsi="Times New Roman" w:cs="Times New Roman"/>
          <w:i/>
          <w:iCs/>
          <w:color w:val="212121"/>
          <w:lang w:eastAsia="en-GB"/>
        </w:rPr>
      </w:pPr>
    </w:p>
    <w:p w14:paraId="6C93FEAC" w14:textId="0D5A020B" w:rsidR="008C25EF" w:rsidRPr="00A07A7C" w:rsidRDefault="00DB532E" w:rsidP="00824073">
      <w:pPr>
        <w:pStyle w:val="ListParagraph"/>
        <w:numPr>
          <w:ilvl w:val="0"/>
          <w:numId w:val="14"/>
        </w:numPr>
        <w:spacing w:line="360" w:lineRule="auto"/>
        <w:jc w:val="both"/>
        <w:rPr>
          <w:rFonts w:ascii="Times New Roman" w:eastAsia="Times New Roman" w:hAnsi="Times New Roman" w:cs="Times New Roman"/>
          <w:i/>
          <w:iCs/>
          <w:color w:val="212121"/>
          <w:lang w:eastAsia="en-GB"/>
        </w:rPr>
      </w:pPr>
      <w:r w:rsidRPr="00A07A7C">
        <w:rPr>
          <w:rFonts w:ascii="Times New Roman" w:eastAsia="Times New Roman" w:hAnsi="Times New Roman" w:cs="Times New Roman"/>
          <w:b/>
          <w:bCs/>
          <w:lang w:eastAsia="en-GB"/>
        </w:rPr>
        <w:t>Necessity as excuse or justification</w:t>
      </w:r>
      <w:r w:rsidRPr="00A07A7C">
        <w:rPr>
          <w:rFonts w:ascii="Times New Roman" w:eastAsia="Times New Roman" w:hAnsi="Times New Roman" w:cs="Times New Roman"/>
          <w:lang w:eastAsia="en-GB"/>
        </w:rPr>
        <w:t>?</w:t>
      </w:r>
    </w:p>
    <w:p w14:paraId="3D42BA28" w14:textId="77777777" w:rsidR="008C25EF" w:rsidRDefault="008C25EF" w:rsidP="00824073">
      <w:pPr>
        <w:spacing w:line="360" w:lineRule="auto"/>
        <w:jc w:val="both"/>
        <w:rPr>
          <w:rFonts w:ascii="Times New Roman" w:eastAsia="Times New Roman" w:hAnsi="Times New Roman" w:cs="Times New Roman"/>
          <w:i/>
          <w:iCs/>
          <w:color w:val="212121"/>
          <w:lang w:eastAsia="en-GB"/>
        </w:rPr>
      </w:pPr>
    </w:p>
    <w:p w14:paraId="47C6132C" w14:textId="400B1B50" w:rsidR="008C25EF" w:rsidRPr="001D63A3" w:rsidRDefault="00BB3565" w:rsidP="001D63A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A07A7C">
        <w:rPr>
          <w:rFonts w:ascii="Times New Roman" w:hAnsi="Times New Roman" w:cs="Times New Roman"/>
        </w:rPr>
        <w:lastRenderedPageBreak/>
        <w:t>Across common law jurisdictions</w:t>
      </w:r>
      <w:r w:rsidR="00A07A7C">
        <w:rPr>
          <w:rFonts w:ascii="Times New Roman" w:hAnsi="Times New Roman" w:cs="Times New Roman"/>
        </w:rPr>
        <w:t>, c</w:t>
      </w:r>
      <w:r w:rsidRPr="00A07A7C">
        <w:rPr>
          <w:rFonts w:ascii="Times New Roman" w:hAnsi="Times New Roman" w:cs="Times New Roman"/>
        </w:rPr>
        <w:t xml:space="preserve">ourts and commentators have grappled with the question </w:t>
      </w:r>
      <w:r w:rsidR="00234736">
        <w:rPr>
          <w:rFonts w:ascii="Times New Roman" w:hAnsi="Times New Roman" w:cs="Times New Roman"/>
        </w:rPr>
        <w:t>of</w:t>
      </w:r>
      <w:r w:rsidRPr="00A07A7C">
        <w:rPr>
          <w:rFonts w:ascii="Times New Roman" w:hAnsi="Times New Roman" w:cs="Times New Roman"/>
        </w:rPr>
        <w:t xml:space="preserve"> whether necessity ought to be considered a defence of excuse or one of justification.</w:t>
      </w:r>
      <w:r w:rsidR="001D63A3" w:rsidRPr="00A07A7C">
        <w:rPr>
          <w:rStyle w:val="FootnoteReference"/>
          <w:rFonts w:ascii="Times New Roman" w:hAnsi="Times New Roman" w:cs="Times New Roman"/>
        </w:rPr>
        <w:footnoteReference w:id="16"/>
      </w:r>
      <w:r w:rsidRPr="00A07A7C">
        <w:rPr>
          <w:rFonts w:ascii="Times New Roman" w:hAnsi="Times New Roman" w:cs="Times New Roman"/>
        </w:rPr>
        <w:t xml:space="preserve"> </w:t>
      </w:r>
      <w:r w:rsidR="00982AD6" w:rsidRPr="00A07A7C">
        <w:rPr>
          <w:rFonts w:ascii="Times New Roman" w:hAnsi="Times New Roman" w:cs="Times New Roman"/>
        </w:rPr>
        <w:t>An analysis of the underlying rationale may be of assistance in determining the parameters of the defence</w:t>
      </w:r>
      <w:r w:rsidR="001D63A3">
        <w:rPr>
          <w:rFonts w:ascii="Times New Roman" w:hAnsi="Times New Roman" w:cs="Times New Roman"/>
        </w:rPr>
        <w:t xml:space="preserve"> and in examining its relationship to “lawful excuse”</w:t>
      </w:r>
      <w:r w:rsidR="00982AD6" w:rsidRPr="00A07A7C">
        <w:rPr>
          <w:rFonts w:ascii="Times New Roman" w:hAnsi="Times New Roman" w:cs="Times New Roman"/>
        </w:rPr>
        <w:t>.</w:t>
      </w:r>
    </w:p>
    <w:p w14:paraId="00261DBB" w14:textId="77777777" w:rsidR="008C25EF" w:rsidRDefault="008C25EF" w:rsidP="00824073">
      <w:pPr>
        <w:spacing w:line="360" w:lineRule="auto"/>
        <w:jc w:val="both"/>
        <w:rPr>
          <w:rFonts w:ascii="Times New Roman" w:hAnsi="Times New Roman" w:cs="Times New Roman"/>
        </w:rPr>
      </w:pPr>
    </w:p>
    <w:p w14:paraId="19042D22" w14:textId="7B77FB11" w:rsidR="008C25EF" w:rsidRPr="008C25EF" w:rsidRDefault="00BB356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The Law Reform Commission </w:t>
      </w:r>
      <w:r w:rsidR="00A07A7C">
        <w:rPr>
          <w:rFonts w:ascii="Times New Roman" w:hAnsi="Times New Roman" w:cs="Times New Roman"/>
        </w:rPr>
        <w:t xml:space="preserve">2006 Paper, cited above, </w:t>
      </w:r>
      <w:r w:rsidRPr="008C25EF">
        <w:rPr>
          <w:rFonts w:ascii="Times New Roman" w:hAnsi="Times New Roman" w:cs="Times New Roman"/>
        </w:rPr>
        <w:t>consider</w:t>
      </w:r>
      <w:r w:rsidR="00A07A7C">
        <w:rPr>
          <w:rFonts w:ascii="Times New Roman" w:hAnsi="Times New Roman" w:cs="Times New Roman"/>
        </w:rPr>
        <w:t>s</w:t>
      </w:r>
      <w:r w:rsidRPr="008C25EF">
        <w:rPr>
          <w:rFonts w:ascii="Times New Roman" w:hAnsi="Times New Roman" w:cs="Times New Roman"/>
        </w:rPr>
        <w:t xml:space="preserve"> whether duress and necessity may properly be considered “</w:t>
      </w:r>
      <w:r w:rsidRPr="008C25EF">
        <w:rPr>
          <w:rFonts w:ascii="Times New Roman" w:hAnsi="Times New Roman" w:cs="Times New Roman"/>
          <w:i/>
          <w:iCs/>
        </w:rPr>
        <w:t>justificatory</w:t>
      </w:r>
      <w:r w:rsidRPr="008C25EF">
        <w:rPr>
          <w:rFonts w:ascii="Times New Roman" w:hAnsi="Times New Roman" w:cs="Times New Roman"/>
        </w:rPr>
        <w:t>” or</w:t>
      </w:r>
      <w:r w:rsidRPr="008C25EF">
        <w:rPr>
          <w:rFonts w:ascii="Times New Roman" w:hAnsi="Times New Roman" w:cs="Times New Roman"/>
          <w:i/>
          <w:iCs/>
        </w:rPr>
        <w:t xml:space="preserve"> “excusatory” </w:t>
      </w:r>
      <w:r w:rsidRPr="008C25EF">
        <w:rPr>
          <w:rFonts w:ascii="Times New Roman" w:hAnsi="Times New Roman" w:cs="Times New Roman"/>
        </w:rPr>
        <w:t>defences. In the context of the discussion of duress, the LRC provisionally recommend</w:t>
      </w:r>
      <w:r w:rsidR="00CA2E57">
        <w:rPr>
          <w:rFonts w:ascii="Times New Roman" w:hAnsi="Times New Roman" w:cs="Times New Roman"/>
        </w:rPr>
        <w:t>ed</w:t>
      </w:r>
      <w:r w:rsidRPr="008C25EF">
        <w:rPr>
          <w:rFonts w:ascii="Times New Roman" w:hAnsi="Times New Roman" w:cs="Times New Roman"/>
        </w:rPr>
        <w:t xml:space="preserve"> that the latter is most appropriate</w:t>
      </w:r>
      <w:r w:rsidRPr="008C25EF">
        <w:rPr>
          <w:rFonts w:ascii="Times New Roman" w:hAnsi="Times New Roman" w:cs="Times New Roman"/>
          <w:i/>
          <w:iCs/>
        </w:rPr>
        <w:t xml:space="preserve">, </w:t>
      </w:r>
      <w:r w:rsidRPr="008C25EF">
        <w:rPr>
          <w:rFonts w:ascii="Times New Roman" w:hAnsi="Times New Roman" w:cs="Times New Roman"/>
        </w:rPr>
        <w:t xml:space="preserve">with reference to the discussion of </w:t>
      </w:r>
      <w:r w:rsidR="00CA2E57">
        <w:rPr>
          <w:rFonts w:ascii="Times New Roman" w:hAnsi="Times New Roman" w:cs="Times New Roman"/>
        </w:rPr>
        <w:t>it</w:t>
      </w:r>
      <w:r w:rsidRPr="008C25EF">
        <w:rPr>
          <w:rFonts w:ascii="Times New Roman" w:hAnsi="Times New Roman" w:cs="Times New Roman"/>
        </w:rPr>
        <w:t xml:space="preserve"> in Charleton, McDermott and Bolger</w:t>
      </w:r>
      <w:r w:rsidR="00A07A7C">
        <w:rPr>
          <w:rFonts w:ascii="Times New Roman" w:hAnsi="Times New Roman" w:cs="Times New Roman"/>
        </w:rPr>
        <w:t>’s textbook</w:t>
      </w:r>
      <w:r w:rsidR="00CA2E57">
        <w:rPr>
          <w:rFonts w:ascii="Times New Roman" w:hAnsi="Times New Roman" w:cs="Times New Roman"/>
        </w:rPr>
        <w:t xml:space="preserve"> on Criminal Law</w:t>
      </w:r>
      <w:r w:rsidRPr="008C25EF">
        <w:rPr>
          <w:rFonts w:ascii="Times New Roman" w:hAnsi="Times New Roman" w:cs="Times New Roman"/>
        </w:rPr>
        <w:t>.</w:t>
      </w:r>
      <w:r w:rsidRPr="00AD669A">
        <w:rPr>
          <w:rStyle w:val="FootnoteReference"/>
          <w:rFonts w:ascii="Times New Roman" w:hAnsi="Times New Roman" w:cs="Times New Roman"/>
        </w:rPr>
        <w:footnoteReference w:id="17"/>
      </w:r>
      <w:r w:rsidRPr="008C25EF">
        <w:rPr>
          <w:rFonts w:ascii="Times New Roman" w:hAnsi="Times New Roman" w:cs="Times New Roman"/>
        </w:rPr>
        <w:t xml:space="preserve"> In relation to necessity</w:t>
      </w:r>
      <w:r w:rsidR="00A07A7C">
        <w:rPr>
          <w:rFonts w:ascii="Times New Roman" w:hAnsi="Times New Roman" w:cs="Times New Roman"/>
        </w:rPr>
        <w:t>,</w:t>
      </w:r>
      <w:r w:rsidRPr="008C25EF">
        <w:rPr>
          <w:rFonts w:ascii="Times New Roman" w:hAnsi="Times New Roman" w:cs="Times New Roman"/>
        </w:rPr>
        <w:t xml:space="preserve"> it ma</w:t>
      </w:r>
      <w:r w:rsidR="00CA2E57">
        <w:rPr>
          <w:rFonts w:ascii="Times New Roman" w:hAnsi="Times New Roman" w:cs="Times New Roman"/>
        </w:rPr>
        <w:t>d</w:t>
      </w:r>
      <w:r w:rsidRPr="008C25EF">
        <w:rPr>
          <w:rFonts w:ascii="Times New Roman" w:hAnsi="Times New Roman" w:cs="Times New Roman"/>
        </w:rPr>
        <w:t xml:space="preserve">e the same recommendation that necessity be considered to be an </w:t>
      </w:r>
      <w:r w:rsidRPr="008C25EF">
        <w:rPr>
          <w:rFonts w:ascii="Times New Roman" w:hAnsi="Times New Roman" w:cs="Times New Roman"/>
          <w:i/>
          <w:iCs/>
        </w:rPr>
        <w:t>excusatory</w:t>
      </w:r>
      <w:r w:rsidRPr="008C25EF">
        <w:rPr>
          <w:rFonts w:ascii="Times New Roman" w:hAnsi="Times New Roman" w:cs="Times New Roman"/>
        </w:rPr>
        <w:t xml:space="preserve"> rather than </w:t>
      </w:r>
      <w:r w:rsidRPr="008C25EF">
        <w:rPr>
          <w:rFonts w:ascii="Times New Roman" w:hAnsi="Times New Roman" w:cs="Times New Roman"/>
          <w:i/>
          <w:iCs/>
        </w:rPr>
        <w:t>justificatory</w:t>
      </w:r>
      <w:r w:rsidRPr="008C25EF">
        <w:rPr>
          <w:rFonts w:ascii="Times New Roman" w:hAnsi="Times New Roman" w:cs="Times New Roman"/>
        </w:rPr>
        <w:t xml:space="preserve"> defence, albeit noting that there is a “defensible” case for the latter. </w:t>
      </w:r>
    </w:p>
    <w:p w14:paraId="63D22D54" w14:textId="77777777" w:rsidR="008C25EF" w:rsidRPr="008C25EF" w:rsidRDefault="008C25EF" w:rsidP="00824073">
      <w:pPr>
        <w:pStyle w:val="ListParagraph"/>
        <w:spacing w:line="360" w:lineRule="auto"/>
        <w:jc w:val="both"/>
        <w:rPr>
          <w:rFonts w:ascii="Times New Roman" w:eastAsia="Times New Roman" w:hAnsi="Times New Roman" w:cs="Times New Roman"/>
          <w:i/>
          <w:iCs/>
          <w:color w:val="212121"/>
          <w:lang w:eastAsia="en-GB"/>
        </w:rPr>
      </w:pPr>
    </w:p>
    <w:p w14:paraId="48BAD961" w14:textId="3E570EAA" w:rsidR="008C25EF" w:rsidRPr="00A07A7C" w:rsidRDefault="00BB356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In its later Report on </w:t>
      </w:r>
      <w:r w:rsidRPr="008C25EF">
        <w:rPr>
          <w:rFonts w:ascii="Times New Roman" w:hAnsi="Times New Roman" w:cs="Times New Roman"/>
          <w:i/>
          <w:iCs/>
        </w:rPr>
        <w:t xml:space="preserve">Defences in the Criminal Law </w:t>
      </w:r>
      <w:r w:rsidRPr="008C25EF">
        <w:rPr>
          <w:rFonts w:ascii="Times New Roman" w:hAnsi="Times New Roman" w:cs="Times New Roman"/>
        </w:rPr>
        <w:t xml:space="preserve">(LRC 95-2009), the </w:t>
      </w:r>
      <w:r w:rsidR="00013D37">
        <w:rPr>
          <w:rFonts w:ascii="Times New Roman" w:hAnsi="Times New Roman" w:cs="Times New Roman"/>
        </w:rPr>
        <w:t>LRC</w:t>
      </w:r>
      <w:r w:rsidRPr="008C25EF">
        <w:rPr>
          <w:rFonts w:ascii="Times New Roman" w:hAnsi="Times New Roman" w:cs="Times New Roman"/>
        </w:rPr>
        <w:t xml:space="preserve"> </w:t>
      </w:r>
      <w:r w:rsidR="00A07A7C">
        <w:rPr>
          <w:rFonts w:ascii="Times New Roman" w:hAnsi="Times New Roman" w:cs="Times New Roman"/>
        </w:rPr>
        <w:t>expressed</w:t>
      </w:r>
      <w:r w:rsidRPr="008C25EF">
        <w:rPr>
          <w:rFonts w:ascii="Times New Roman" w:hAnsi="Times New Roman" w:cs="Times New Roman"/>
        </w:rPr>
        <w:t xml:space="preserve"> the view that necessity is </w:t>
      </w:r>
      <w:r w:rsidR="00A07A7C">
        <w:rPr>
          <w:rFonts w:ascii="Times New Roman" w:hAnsi="Times New Roman" w:cs="Times New Roman"/>
        </w:rPr>
        <w:t xml:space="preserve">a </w:t>
      </w:r>
      <w:r w:rsidRPr="008C25EF">
        <w:rPr>
          <w:rFonts w:ascii="Times New Roman" w:hAnsi="Times New Roman" w:cs="Times New Roman"/>
        </w:rPr>
        <w:t xml:space="preserve">defence of an </w:t>
      </w:r>
      <w:r w:rsidRPr="008C25EF">
        <w:rPr>
          <w:rFonts w:ascii="Times New Roman" w:hAnsi="Times New Roman" w:cs="Times New Roman"/>
          <w:i/>
          <w:iCs/>
        </w:rPr>
        <w:t xml:space="preserve">excusatory </w:t>
      </w:r>
      <w:r w:rsidRPr="008C25EF">
        <w:rPr>
          <w:rFonts w:ascii="Times New Roman" w:hAnsi="Times New Roman" w:cs="Times New Roman"/>
        </w:rPr>
        <w:t xml:space="preserve">nature. It is of note that the </w:t>
      </w:r>
      <w:r w:rsidR="00013D37">
        <w:rPr>
          <w:rFonts w:ascii="Times New Roman" w:hAnsi="Times New Roman" w:cs="Times New Roman"/>
        </w:rPr>
        <w:t>LRC</w:t>
      </w:r>
      <w:r w:rsidRPr="008C25EF">
        <w:rPr>
          <w:rFonts w:ascii="Times New Roman" w:hAnsi="Times New Roman" w:cs="Times New Roman"/>
        </w:rPr>
        <w:t xml:space="preserve"> refer</w:t>
      </w:r>
      <w:r w:rsidR="00A07A7C">
        <w:rPr>
          <w:rFonts w:ascii="Times New Roman" w:hAnsi="Times New Roman" w:cs="Times New Roman"/>
        </w:rPr>
        <w:t>red</w:t>
      </w:r>
      <w:r w:rsidRPr="008C25EF">
        <w:rPr>
          <w:rFonts w:ascii="Times New Roman" w:hAnsi="Times New Roman" w:cs="Times New Roman"/>
        </w:rPr>
        <w:t xml:space="preserve"> to the statutory defence under section 6 of the Criminal Damage Act 1991 as an example of a defence of </w:t>
      </w:r>
      <w:r w:rsidRPr="008C25EF">
        <w:rPr>
          <w:rFonts w:ascii="Times New Roman" w:hAnsi="Times New Roman" w:cs="Times New Roman"/>
          <w:i/>
          <w:iCs/>
        </w:rPr>
        <w:t>justification</w:t>
      </w:r>
      <w:r w:rsidRPr="008C25EF">
        <w:rPr>
          <w:rFonts w:ascii="Times New Roman" w:hAnsi="Times New Roman" w:cs="Times New Roman"/>
        </w:rPr>
        <w:t xml:space="preserve">. </w:t>
      </w:r>
      <w:r w:rsidR="00A07A7C">
        <w:rPr>
          <w:rFonts w:ascii="Times New Roman" w:hAnsi="Times New Roman" w:cs="Times New Roman"/>
        </w:rPr>
        <w:t xml:space="preserve">Notably, </w:t>
      </w:r>
      <w:r w:rsidRPr="008C25EF">
        <w:rPr>
          <w:rFonts w:ascii="Times New Roman" w:hAnsi="Times New Roman" w:cs="Times New Roman"/>
        </w:rPr>
        <w:t>in its Report</w:t>
      </w:r>
      <w:r w:rsidR="00A07A7C">
        <w:rPr>
          <w:rFonts w:ascii="Times New Roman" w:hAnsi="Times New Roman" w:cs="Times New Roman"/>
        </w:rPr>
        <w:t xml:space="preserve">, it took </w:t>
      </w:r>
      <w:r w:rsidRPr="008C25EF">
        <w:rPr>
          <w:rFonts w:ascii="Times New Roman" w:hAnsi="Times New Roman" w:cs="Times New Roman"/>
        </w:rPr>
        <w:t xml:space="preserve">the view that necessity may be </w:t>
      </w:r>
      <w:r w:rsidRPr="00CA2E57">
        <w:rPr>
          <w:rFonts w:ascii="Times New Roman" w:hAnsi="Times New Roman" w:cs="Times New Roman"/>
          <w:u w:val="single"/>
        </w:rPr>
        <w:t>either based on justification or excuse</w:t>
      </w:r>
      <w:r w:rsidRPr="008C25EF">
        <w:rPr>
          <w:rFonts w:ascii="Times New Roman" w:hAnsi="Times New Roman" w:cs="Times New Roman"/>
        </w:rPr>
        <w:t>.</w:t>
      </w:r>
      <w:r w:rsidRPr="00AD669A">
        <w:rPr>
          <w:rStyle w:val="FootnoteReference"/>
          <w:rFonts w:ascii="Times New Roman" w:hAnsi="Times New Roman" w:cs="Times New Roman"/>
        </w:rPr>
        <w:footnoteReference w:id="18"/>
      </w:r>
      <w:r w:rsidR="00A07A7C">
        <w:rPr>
          <w:rFonts w:ascii="Times New Roman" w:hAnsi="Times New Roman" w:cs="Times New Roman"/>
        </w:rPr>
        <w:t xml:space="preserve"> It concluded </w:t>
      </w:r>
      <w:r w:rsidRPr="00A07A7C">
        <w:rPr>
          <w:rFonts w:ascii="Times New Roman" w:hAnsi="Times New Roman" w:cs="Times New Roman"/>
        </w:rPr>
        <w:t>[at 205-206]:</w:t>
      </w:r>
    </w:p>
    <w:p w14:paraId="4332408B" w14:textId="77777777" w:rsidR="008C25EF" w:rsidRPr="008C25EF" w:rsidRDefault="008C25EF" w:rsidP="00824073">
      <w:pPr>
        <w:pStyle w:val="ListParagraph"/>
        <w:spacing w:line="360" w:lineRule="auto"/>
        <w:rPr>
          <w:rFonts w:ascii="Times New Roman" w:hAnsi="Times New Roman" w:cs="Times New Roman"/>
          <w:i/>
          <w:iCs/>
        </w:rPr>
      </w:pPr>
    </w:p>
    <w:p w14:paraId="009FE584" w14:textId="3BBE25C9" w:rsidR="008C25EF" w:rsidRPr="00234736" w:rsidRDefault="00CA2E57" w:rsidP="00234736">
      <w:pPr>
        <w:spacing w:line="360" w:lineRule="auto"/>
        <w:ind w:left="644"/>
        <w:jc w:val="both"/>
        <w:rPr>
          <w:rFonts w:ascii="Times New Roman" w:hAnsi="Times New Roman" w:cs="Times New Roman"/>
          <w:i/>
          <w:iCs/>
        </w:rPr>
      </w:pPr>
      <w:r w:rsidRPr="00234736">
        <w:rPr>
          <w:rFonts w:ascii="Times New Roman" w:hAnsi="Times New Roman" w:cs="Times New Roman"/>
          <w:i/>
          <w:iCs/>
        </w:rPr>
        <w:t>“</w:t>
      </w:r>
      <w:r w:rsidR="00BB3565" w:rsidRPr="00234736">
        <w:rPr>
          <w:rFonts w:ascii="Times New Roman" w:hAnsi="Times New Roman" w:cs="Times New Roman"/>
          <w:i/>
          <w:iCs/>
        </w:rPr>
        <w:t xml:space="preserve">The Commission accepts that necessity has a limited scope and that </w:t>
      </w:r>
      <w:r w:rsidR="00BB3565" w:rsidRPr="00234736">
        <w:rPr>
          <w:rFonts w:ascii="Times New Roman" w:hAnsi="Times New Roman" w:cs="Times New Roman"/>
          <w:i/>
          <w:iCs/>
          <w:u w:val="single"/>
        </w:rPr>
        <w:t>it is extremely difficult to define its parameters</w:t>
      </w:r>
      <w:r w:rsidR="00BB3565" w:rsidRPr="00234736">
        <w:rPr>
          <w:rFonts w:ascii="Times New Roman" w:hAnsi="Times New Roman" w:cs="Times New Roman"/>
          <w:i/>
          <w:iCs/>
        </w:rPr>
        <w:t xml:space="preserve">. The Commission has concluded that the defence of necessity should apply in certain exceptional circumstances, such as those already identified in legislation such as the Criminal Damage Act 1991 and in other exceptional circumstances such as those connected with medical necessity. Given the complexity of this area, the Commission has concluded that, as a defence, </w:t>
      </w:r>
      <w:r w:rsidR="00BB3565" w:rsidRPr="00234736">
        <w:rPr>
          <w:rFonts w:ascii="Times New Roman" w:hAnsi="Times New Roman" w:cs="Times New Roman"/>
          <w:i/>
          <w:iCs/>
          <w:u w:val="single"/>
        </w:rPr>
        <w:t>it should remain to be developed on a case-by-case basis</w:t>
      </w:r>
      <w:r w:rsidR="00BB3565" w:rsidRPr="00234736">
        <w:rPr>
          <w:rFonts w:ascii="Times New Roman" w:hAnsi="Times New Roman" w:cs="Times New Roman"/>
          <w:i/>
          <w:iCs/>
        </w:rPr>
        <w:t> </w:t>
      </w:r>
      <w:r w:rsidR="00BB3565" w:rsidRPr="00234736">
        <w:rPr>
          <w:rFonts w:ascii="Times New Roman" w:hAnsi="Times New Roman" w:cs="Times New Roman"/>
        </w:rPr>
        <w:t>…</w:t>
      </w:r>
    </w:p>
    <w:p w14:paraId="0D41CBD1" w14:textId="094C2B94" w:rsidR="008C25EF" w:rsidRPr="00234736" w:rsidRDefault="00CA2E57" w:rsidP="00234736">
      <w:pPr>
        <w:spacing w:line="360" w:lineRule="auto"/>
        <w:ind w:left="644"/>
        <w:jc w:val="both"/>
        <w:rPr>
          <w:rFonts w:ascii="Times New Roman" w:hAnsi="Times New Roman" w:cs="Times New Roman"/>
        </w:rPr>
      </w:pPr>
      <w:r w:rsidRPr="00234736">
        <w:rPr>
          <w:rFonts w:ascii="Times New Roman" w:hAnsi="Times New Roman" w:cs="Times New Roman"/>
          <w:i/>
          <w:iCs/>
        </w:rPr>
        <w:lastRenderedPageBreak/>
        <w:t>“</w:t>
      </w:r>
      <w:r w:rsidR="00BB3565" w:rsidRPr="00234736">
        <w:rPr>
          <w:rFonts w:ascii="Times New Roman" w:hAnsi="Times New Roman" w:cs="Times New Roman"/>
          <w:i/>
          <w:iCs/>
        </w:rPr>
        <w:t xml:space="preserve">The Commission has also concluded that Irish law should provide for a defence of duress of circumstances. The Commission considers that the development of duress of circumstances, while correctly described as an attempt to deal with the necessity cases, </w:t>
      </w:r>
      <w:proofErr w:type="gramStart"/>
      <w:r w:rsidR="00BB3565" w:rsidRPr="00234736">
        <w:rPr>
          <w:rFonts w:ascii="Times New Roman" w:hAnsi="Times New Roman" w:cs="Times New Roman"/>
          <w:i/>
          <w:iCs/>
        </w:rPr>
        <w:t>actually deals</w:t>
      </w:r>
      <w:proofErr w:type="gramEnd"/>
      <w:r w:rsidR="00BB3565" w:rsidRPr="00234736">
        <w:rPr>
          <w:rFonts w:ascii="Times New Roman" w:hAnsi="Times New Roman" w:cs="Times New Roman"/>
          <w:i/>
          <w:iCs/>
        </w:rPr>
        <w:t xml:space="preserve"> with cases which would be better described as having a purely excuse-based rationale.</w:t>
      </w:r>
      <w:r w:rsidRPr="00234736">
        <w:rPr>
          <w:rFonts w:ascii="Times New Roman" w:hAnsi="Times New Roman" w:cs="Times New Roman"/>
        </w:rPr>
        <w:t>”</w:t>
      </w:r>
      <w:r w:rsidR="00BB3565" w:rsidRPr="00234736">
        <w:rPr>
          <w:rFonts w:ascii="Times New Roman" w:hAnsi="Times New Roman" w:cs="Times New Roman"/>
          <w:i/>
          <w:iCs/>
        </w:rPr>
        <w:t> </w:t>
      </w:r>
      <w:r w:rsidR="00A07A7C" w:rsidRPr="00234736">
        <w:rPr>
          <w:rFonts w:ascii="Times New Roman" w:hAnsi="Times New Roman" w:cs="Times New Roman"/>
        </w:rPr>
        <w:t>[Emphasis added]</w:t>
      </w:r>
    </w:p>
    <w:p w14:paraId="7A97B97E" w14:textId="77777777" w:rsidR="00A07A7C" w:rsidRPr="002E16F0" w:rsidRDefault="00A07A7C" w:rsidP="002E16F0">
      <w:pPr>
        <w:spacing w:line="360" w:lineRule="auto"/>
        <w:jc w:val="both"/>
        <w:rPr>
          <w:rFonts w:ascii="Times New Roman" w:eastAsia="Times New Roman" w:hAnsi="Times New Roman" w:cs="Times New Roman"/>
          <w:i/>
          <w:iCs/>
          <w:color w:val="212121"/>
          <w:lang w:eastAsia="en-GB"/>
        </w:rPr>
      </w:pPr>
    </w:p>
    <w:p w14:paraId="51D2389E" w14:textId="03C4FEA0" w:rsidR="008C25EF" w:rsidRPr="008C25EF" w:rsidRDefault="00BB356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 xml:space="preserve">If we consider these rationales </w:t>
      </w:r>
      <w:r w:rsidR="002E16F0">
        <w:rPr>
          <w:rFonts w:ascii="Times New Roman" w:hAnsi="Times New Roman" w:cs="Times New Roman"/>
        </w:rPr>
        <w:t>in</w:t>
      </w:r>
      <w:r w:rsidRPr="008C25EF">
        <w:rPr>
          <w:rFonts w:ascii="Times New Roman" w:hAnsi="Times New Roman" w:cs="Times New Roman"/>
        </w:rPr>
        <w:t xml:space="preserve"> the Appellant’s case, does necessity act </w:t>
      </w:r>
      <w:proofErr w:type="gramStart"/>
      <w:r w:rsidRPr="008C25EF">
        <w:rPr>
          <w:rFonts w:ascii="Times New Roman" w:hAnsi="Times New Roman" w:cs="Times New Roman"/>
        </w:rPr>
        <w:t>so as to</w:t>
      </w:r>
      <w:proofErr w:type="gramEnd"/>
      <w:r w:rsidRPr="008C25EF">
        <w:rPr>
          <w:rFonts w:ascii="Times New Roman" w:hAnsi="Times New Roman" w:cs="Times New Roman"/>
        </w:rPr>
        <w:t xml:space="preserve"> </w:t>
      </w:r>
      <w:r w:rsidRPr="008C25EF">
        <w:rPr>
          <w:rFonts w:ascii="Times New Roman" w:hAnsi="Times New Roman" w:cs="Times New Roman"/>
          <w:i/>
          <w:iCs/>
        </w:rPr>
        <w:t xml:space="preserve">excuse </w:t>
      </w:r>
      <w:r w:rsidRPr="008C25EF">
        <w:rPr>
          <w:rFonts w:ascii="Times New Roman" w:hAnsi="Times New Roman" w:cs="Times New Roman"/>
        </w:rPr>
        <w:t xml:space="preserve">him from liability entirely or to </w:t>
      </w:r>
      <w:r w:rsidRPr="008C25EF">
        <w:rPr>
          <w:rFonts w:ascii="Times New Roman" w:hAnsi="Times New Roman" w:cs="Times New Roman"/>
          <w:i/>
          <w:iCs/>
        </w:rPr>
        <w:t>justify</w:t>
      </w:r>
      <w:r w:rsidRPr="008C25EF">
        <w:rPr>
          <w:rFonts w:ascii="Times New Roman" w:hAnsi="Times New Roman" w:cs="Times New Roman"/>
        </w:rPr>
        <w:t xml:space="preserve"> his conduct? It appears that the Appellant, in submissions at trial</w:t>
      </w:r>
      <w:r w:rsidR="00234736">
        <w:rPr>
          <w:rFonts w:ascii="Times New Roman" w:hAnsi="Times New Roman" w:cs="Times New Roman"/>
        </w:rPr>
        <w:t>,</w:t>
      </w:r>
      <w:r w:rsidRPr="008C25EF">
        <w:rPr>
          <w:rFonts w:ascii="Times New Roman" w:hAnsi="Times New Roman" w:cs="Times New Roman"/>
        </w:rPr>
        <w:t xml:space="preserve"> sought to rely on the latter formulation</w:t>
      </w:r>
      <w:r w:rsidR="00234736">
        <w:rPr>
          <w:rFonts w:ascii="Times New Roman" w:hAnsi="Times New Roman" w:cs="Times New Roman"/>
        </w:rPr>
        <w:t>,</w:t>
      </w:r>
      <w:r w:rsidRPr="008C25EF">
        <w:rPr>
          <w:rFonts w:ascii="Times New Roman" w:hAnsi="Times New Roman" w:cs="Times New Roman"/>
        </w:rPr>
        <w:t xml:space="preserve"> as the logic of the lawful excuse he sought to advance appears more akin to a justification-based formulation of the defence of necessity. This seems permissible under the analysis and recommendations of the LR</w:t>
      </w:r>
      <w:r w:rsidR="00234736">
        <w:rPr>
          <w:rFonts w:ascii="Times New Roman" w:hAnsi="Times New Roman" w:cs="Times New Roman"/>
        </w:rPr>
        <w:t>C</w:t>
      </w:r>
      <w:r w:rsidRPr="008C25EF">
        <w:rPr>
          <w:rFonts w:ascii="Times New Roman" w:hAnsi="Times New Roman" w:cs="Times New Roman"/>
        </w:rPr>
        <w:t xml:space="preserve"> </w:t>
      </w:r>
      <w:r w:rsidR="00CA2E57">
        <w:rPr>
          <w:rFonts w:ascii="Times New Roman" w:hAnsi="Times New Roman" w:cs="Times New Roman"/>
        </w:rPr>
        <w:t>which, as seen above, also</w:t>
      </w:r>
      <w:r w:rsidRPr="008C25EF">
        <w:rPr>
          <w:rFonts w:ascii="Times New Roman" w:hAnsi="Times New Roman" w:cs="Times New Roman"/>
        </w:rPr>
        <w:t xml:space="preserve"> specifically identifie</w:t>
      </w:r>
      <w:r w:rsidR="00CA2E57">
        <w:rPr>
          <w:rFonts w:ascii="Times New Roman" w:hAnsi="Times New Roman" w:cs="Times New Roman"/>
        </w:rPr>
        <w:t>d</w:t>
      </w:r>
      <w:r w:rsidRPr="008C25EF">
        <w:rPr>
          <w:rFonts w:ascii="Times New Roman" w:hAnsi="Times New Roman" w:cs="Times New Roman"/>
        </w:rPr>
        <w:t xml:space="preserve"> the defence under section 6 of the Criminal Damage Act 1991</w:t>
      </w:r>
      <w:r w:rsidR="00CA2E57">
        <w:rPr>
          <w:rFonts w:ascii="Times New Roman" w:hAnsi="Times New Roman" w:cs="Times New Roman"/>
        </w:rPr>
        <w:t>.</w:t>
      </w:r>
      <w:r w:rsidRPr="008C25EF">
        <w:rPr>
          <w:rFonts w:ascii="Times New Roman" w:hAnsi="Times New Roman" w:cs="Times New Roman"/>
        </w:rPr>
        <w:t xml:space="preserve">  </w:t>
      </w:r>
    </w:p>
    <w:p w14:paraId="73FAC08F" w14:textId="77777777" w:rsidR="00A07A7C" w:rsidRPr="00A07A7C" w:rsidRDefault="00A07A7C" w:rsidP="00824073">
      <w:pPr>
        <w:pStyle w:val="ListParagraph"/>
        <w:spacing w:line="360" w:lineRule="auto"/>
        <w:jc w:val="both"/>
        <w:rPr>
          <w:rFonts w:ascii="Times New Roman" w:eastAsia="Times New Roman" w:hAnsi="Times New Roman" w:cs="Times New Roman"/>
          <w:i/>
          <w:iCs/>
          <w:color w:val="212121"/>
          <w:lang w:eastAsia="en-GB"/>
        </w:rPr>
      </w:pPr>
    </w:p>
    <w:p w14:paraId="3105AEDA" w14:textId="4BF5124C" w:rsidR="008C25EF" w:rsidRPr="008C25EF" w:rsidRDefault="00BB3565"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While the LRC recommend</w:t>
      </w:r>
      <w:r w:rsidR="00CA2E57">
        <w:rPr>
          <w:rFonts w:ascii="Times New Roman" w:hAnsi="Times New Roman" w:cs="Times New Roman"/>
        </w:rPr>
        <w:t>ed</w:t>
      </w:r>
      <w:r w:rsidRPr="008C25EF">
        <w:rPr>
          <w:rFonts w:ascii="Times New Roman" w:hAnsi="Times New Roman" w:cs="Times New Roman"/>
        </w:rPr>
        <w:t xml:space="preserve"> that the defence of necessity be left to the Courts to determine on a case-by-case basis, it contain</w:t>
      </w:r>
      <w:r w:rsidR="00CA2E57">
        <w:rPr>
          <w:rFonts w:ascii="Times New Roman" w:hAnsi="Times New Roman" w:cs="Times New Roman"/>
        </w:rPr>
        <w:t>ed</w:t>
      </w:r>
      <w:r w:rsidRPr="008C25EF">
        <w:rPr>
          <w:rFonts w:ascii="Times New Roman" w:hAnsi="Times New Roman" w:cs="Times New Roman"/>
        </w:rPr>
        <w:t xml:space="preserve"> a draft definition for a defence of duress of circumstances</w:t>
      </w:r>
      <w:r w:rsidR="00B61D30">
        <w:rPr>
          <w:rFonts w:ascii="Times New Roman" w:hAnsi="Times New Roman" w:cs="Times New Roman"/>
        </w:rPr>
        <w:t>.</w:t>
      </w:r>
      <w:r w:rsidR="00B61D30">
        <w:rPr>
          <w:rStyle w:val="FootnoteReference"/>
          <w:rFonts w:ascii="Times New Roman" w:hAnsi="Times New Roman" w:cs="Times New Roman"/>
        </w:rPr>
        <w:footnoteReference w:id="19"/>
      </w:r>
    </w:p>
    <w:p w14:paraId="4DBEBE95" w14:textId="77777777" w:rsidR="008C25EF" w:rsidRDefault="008C25EF" w:rsidP="00824073">
      <w:pPr>
        <w:spacing w:line="360" w:lineRule="auto"/>
        <w:jc w:val="both"/>
        <w:rPr>
          <w:rFonts w:ascii="Times New Roman" w:hAnsi="Times New Roman" w:cs="Times New Roman"/>
        </w:rPr>
      </w:pPr>
    </w:p>
    <w:p w14:paraId="7F5EEB5C" w14:textId="49489C27" w:rsidR="001F697C" w:rsidRPr="001F697C" w:rsidRDefault="001F697C" w:rsidP="001F697C">
      <w:pPr>
        <w:pStyle w:val="ListParagraph"/>
        <w:numPr>
          <w:ilvl w:val="0"/>
          <w:numId w:val="14"/>
        </w:numPr>
        <w:spacing w:line="360" w:lineRule="auto"/>
        <w:jc w:val="both"/>
        <w:rPr>
          <w:rFonts w:ascii="Times New Roman" w:hAnsi="Times New Roman" w:cs="Times New Roman"/>
        </w:rPr>
      </w:pPr>
      <w:r w:rsidRPr="00B81BD0">
        <w:rPr>
          <w:rFonts w:ascii="Times New Roman" w:eastAsia="Times New Roman" w:hAnsi="Times New Roman" w:cs="Times New Roman"/>
          <w:b/>
          <w:bCs/>
          <w:u w:val="single"/>
          <w:lang w:val="en-GB" w:eastAsia="en-GB"/>
        </w:rPr>
        <w:t xml:space="preserve">Necessity and </w:t>
      </w:r>
      <w:r w:rsidR="00234736">
        <w:rPr>
          <w:rFonts w:ascii="Times New Roman" w:eastAsia="Times New Roman" w:hAnsi="Times New Roman" w:cs="Times New Roman"/>
          <w:b/>
          <w:bCs/>
          <w:u w:val="single"/>
          <w:lang w:val="en-GB" w:eastAsia="en-GB"/>
        </w:rPr>
        <w:t>a</w:t>
      </w:r>
      <w:r w:rsidRPr="00B81BD0">
        <w:rPr>
          <w:rFonts w:ascii="Times New Roman" w:eastAsia="Times New Roman" w:hAnsi="Times New Roman" w:cs="Times New Roman"/>
          <w:b/>
          <w:bCs/>
          <w:u w:val="single"/>
          <w:lang w:val="en-GB" w:eastAsia="en-GB"/>
        </w:rPr>
        <w:t xml:space="preserve">cts of </w:t>
      </w:r>
      <w:r w:rsidR="00234736">
        <w:rPr>
          <w:rFonts w:ascii="Times New Roman" w:eastAsia="Times New Roman" w:hAnsi="Times New Roman" w:cs="Times New Roman"/>
          <w:b/>
          <w:bCs/>
          <w:u w:val="single"/>
          <w:lang w:val="en-GB" w:eastAsia="en-GB"/>
        </w:rPr>
        <w:t>p</w:t>
      </w:r>
      <w:r w:rsidRPr="00B81BD0">
        <w:rPr>
          <w:rFonts w:ascii="Times New Roman" w:eastAsia="Times New Roman" w:hAnsi="Times New Roman" w:cs="Times New Roman"/>
          <w:b/>
          <w:bCs/>
          <w:u w:val="single"/>
          <w:lang w:val="en-GB" w:eastAsia="en-GB"/>
        </w:rPr>
        <w:t xml:space="preserve">rotest in </w:t>
      </w:r>
      <w:r>
        <w:rPr>
          <w:rFonts w:ascii="Times New Roman" w:eastAsia="Times New Roman" w:hAnsi="Times New Roman" w:cs="Times New Roman"/>
          <w:b/>
          <w:bCs/>
          <w:u w:val="single"/>
          <w:lang w:val="en-GB" w:eastAsia="en-GB"/>
        </w:rPr>
        <w:t>the United States and Canada</w:t>
      </w:r>
    </w:p>
    <w:p w14:paraId="7778276C" w14:textId="77777777" w:rsidR="001F697C" w:rsidRPr="008603DB" w:rsidRDefault="001F697C" w:rsidP="001F697C">
      <w:pPr>
        <w:pStyle w:val="ListParagraph"/>
        <w:spacing w:line="360" w:lineRule="auto"/>
        <w:rPr>
          <w:rFonts w:ascii="Times New Roman" w:eastAsia="Times New Roman" w:hAnsi="Times New Roman" w:cs="Times New Roman"/>
          <w:lang w:val="en-GB" w:eastAsia="en-GB"/>
        </w:rPr>
      </w:pPr>
    </w:p>
    <w:p w14:paraId="578D55F1" w14:textId="3E32242F" w:rsidR="001F697C" w:rsidRDefault="001F697C" w:rsidP="001F697C">
      <w:pPr>
        <w:pStyle w:val="ListParagraph"/>
        <w:numPr>
          <w:ilvl w:val="0"/>
          <w:numId w:val="1"/>
        </w:numPr>
        <w:spacing w:line="360" w:lineRule="auto"/>
        <w:jc w:val="both"/>
        <w:rPr>
          <w:rFonts w:ascii="Times New Roman" w:eastAsia="Times New Roman" w:hAnsi="Times New Roman" w:cs="Times New Roman"/>
          <w:lang w:val="en-GB" w:eastAsia="en-GB"/>
        </w:rPr>
      </w:pPr>
      <w:r w:rsidRPr="0040667E">
        <w:rPr>
          <w:rFonts w:ascii="Times New Roman" w:eastAsia="Times New Roman" w:hAnsi="Times New Roman" w:cs="Times New Roman"/>
          <w:lang w:val="en-GB" w:eastAsia="en-GB"/>
        </w:rPr>
        <w:t>The defence of necessity has been used in other jurisdictions</w:t>
      </w:r>
      <w:r w:rsidR="00CA2E57">
        <w:rPr>
          <w:rFonts w:ascii="Times New Roman" w:eastAsia="Times New Roman" w:hAnsi="Times New Roman" w:cs="Times New Roman"/>
          <w:lang w:val="en-GB" w:eastAsia="en-GB"/>
        </w:rPr>
        <w:t xml:space="preserve">, </w:t>
      </w:r>
      <w:proofErr w:type="gramStart"/>
      <w:r w:rsidR="00CA2E57">
        <w:rPr>
          <w:rFonts w:ascii="Times New Roman" w:eastAsia="Times New Roman" w:hAnsi="Times New Roman" w:cs="Times New Roman"/>
          <w:lang w:val="en-GB" w:eastAsia="en-GB"/>
        </w:rPr>
        <w:t>in particular</w:t>
      </w:r>
      <w:r w:rsidRPr="0040667E">
        <w:rPr>
          <w:rFonts w:ascii="Times New Roman" w:eastAsia="Times New Roman" w:hAnsi="Times New Roman" w:cs="Times New Roman"/>
          <w:lang w:val="en-GB" w:eastAsia="en-GB"/>
        </w:rPr>
        <w:t xml:space="preserve"> in</w:t>
      </w:r>
      <w:proofErr w:type="gramEnd"/>
      <w:r w:rsidRPr="0040667E">
        <w:rPr>
          <w:rFonts w:ascii="Times New Roman" w:eastAsia="Times New Roman" w:hAnsi="Times New Roman" w:cs="Times New Roman"/>
          <w:lang w:val="en-GB" w:eastAsia="en-GB"/>
        </w:rPr>
        <w:t xml:space="preserve"> climate action protest cases</w:t>
      </w:r>
      <w:r>
        <w:rPr>
          <w:rFonts w:ascii="Times New Roman" w:eastAsia="Times New Roman" w:hAnsi="Times New Roman" w:cs="Times New Roman"/>
          <w:lang w:val="en-GB" w:eastAsia="en-GB"/>
        </w:rPr>
        <w:t xml:space="preserve">. There are </w:t>
      </w:r>
      <w:proofErr w:type="gramStart"/>
      <w:r>
        <w:rPr>
          <w:rFonts w:ascii="Times New Roman" w:eastAsia="Times New Roman" w:hAnsi="Times New Roman" w:cs="Times New Roman"/>
          <w:lang w:val="en-GB" w:eastAsia="en-GB"/>
        </w:rPr>
        <w:t>a number of</w:t>
      </w:r>
      <w:proofErr w:type="gramEnd"/>
      <w:r>
        <w:rPr>
          <w:rFonts w:ascii="Times New Roman" w:eastAsia="Times New Roman" w:hAnsi="Times New Roman" w:cs="Times New Roman"/>
          <w:lang w:val="en-GB" w:eastAsia="en-GB"/>
        </w:rPr>
        <w:t xml:space="preserve"> cases from the United States and Canada in which the Courts have held that the necessity defence should be allowed to go to the jury.</w:t>
      </w:r>
      <w:r>
        <w:rPr>
          <w:rStyle w:val="FootnoteReference"/>
          <w:rFonts w:ascii="Times New Roman" w:eastAsia="Times New Roman" w:hAnsi="Times New Roman" w:cs="Times New Roman"/>
          <w:lang w:val="en-GB" w:eastAsia="en-GB"/>
        </w:rPr>
        <w:footnoteReference w:id="20"/>
      </w:r>
    </w:p>
    <w:p w14:paraId="6426D431" w14:textId="77777777" w:rsidR="001F697C" w:rsidRPr="00D24677" w:rsidRDefault="001F697C" w:rsidP="001F697C">
      <w:pPr>
        <w:spacing w:line="360" w:lineRule="auto"/>
        <w:jc w:val="both"/>
        <w:rPr>
          <w:rFonts w:ascii="Times New Roman" w:eastAsia="Times New Roman" w:hAnsi="Times New Roman" w:cs="Times New Roman"/>
          <w:lang w:val="en-GB" w:eastAsia="en-GB"/>
        </w:rPr>
      </w:pPr>
    </w:p>
    <w:p w14:paraId="40A74D3E" w14:textId="58145F3F" w:rsidR="001F697C" w:rsidRPr="001D0BFD"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 xml:space="preserve">In </w:t>
      </w:r>
      <w:r w:rsidRPr="005E3217">
        <w:rPr>
          <w:rFonts w:ascii="Times New Roman" w:eastAsia="Times New Roman" w:hAnsi="Times New Roman" w:cs="Times New Roman"/>
          <w:b/>
          <w:bCs/>
          <w:i/>
          <w:iCs/>
          <w:lang w:eastAsia="en-GB"/>
        </w:rPr>
        <w:t>State of Washington v</w:t>
      </w:r>
      <w:r w:rsidR="00CA2E57">
        <w:rPr>
          <w:rFonts w:ascii="Times New Roman" w:eastAsia="Times New Roman" w:hAnsi="Times New Roman" w:cs="Times New Roman"/>
          <w:b/>
          <w:bCs/>
          <w:i/>
          <w:iCs/>
          <w:lang w:eastAsia="en-GB"/>
        </w:rPr>
        <w:t>.</w:t>
      </w:r>
      <w:r w:rsidRPr="005E3217">
        <w:rPr>
          <w:rFonts w:ascii="Times New Roman" w:eastAsia="Times New Roman" w:hAnsi="Times New Roman" w:cs="Times New Roman"/>
          <w:b/>
          <w:bCs/>
          <w:i/>
          <w:iCs/>
          <w:lang w:eastAsia="en-GB"/>
        </w:rPr>
        <w:t xml:space="preserve"> Ward</w:t>
      </w:r>
      <w:r>
        <w:rPr>
          <w:rFonts w:ascii="Times New Roman" w:eastAsia="Times New Roman" w:hAnsi="Times New Roman" w:cs="Times New Roman"/>
          <w:b/>
          <w:bCs/>
          <w:i/>
          <w:iCs/>
          <w:lang w:eastAsia="en-GB"/>
        </w:rPr>
        <w:t xml:space="preserve"> </w:t>
      </w:r>
      <w:r w:rsidRPr="00D24677">
        <w:rPr>
          <w:rFonts w:ascii="Times New Roman" w:hAnsi="Times New Roman" w:cs="Times New Roman"/>
        </w:rPr>
        <w:t>438 P.3d 588 (Wash. App. 2019),</w:t>
      </w:r>
      <w:r w:rsidRPr="005E321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the Defendant </w:t>
      </w:r>
      <w:r w:rsidRPr="005E3217">
        <w:rPr>
          <w:rFonts w:ascii="Times New Roman" w:eastAsia="Times New Roman" w:hAnsi="Times New Roman" w:cs="Times New Roman"/>
          <w:lang w:eastAsia="en-GB"/>
        </w:rPr>
        <w:t xml:space="preserve">entered a pipeline facility in Washington and turned off a valve to interrupt the flow of tar sands oil. He was arrested and charged with burglary, criminal trespass, and criminal sabotage. </w:t>
      </w:r>
      <w:r>
        <w:rPr>
          <w:rFonts w:ascii="Times New Roman" w:eastAsia="Times New Roman" w:hAnsi="Times New Roman" w:cs="Times New Roman"/>
          <w:lang w:eastAsia="en-GB"/>
        </w:rPr>
        <w:t>When his</w:t>
      </w:r>
      <w:r w:rsidRPr="005E3217">
        <w:rPr>
          <w:rFonts w:ascii="Times New Roman" w:eastAsia="Times New Roman" w:hAnsi="Times New Roman" w:cs="Times New Roman"/>
          <w:lang w:eastAsia="en-GB"/>
        </w:rPr>
        <w:t xml:space="preserve"> first trial ended with a hung jury</w:t>
      </w:r>
      <w:r>
        <w:rPr>
          <w:rFonts w:ascii="Times New Roman" w:eastAsia="Times New Roman" w:hAnsi="Times New Roman" w:cs="Times New Roman"/>
          <w:lang w:eastAsia="en-GB"/>
        </w:rPr>
        <w:t>, he</w:t>
      </w:r>
      <w:r w:rsidRPr="001D0BFD">
        <w:rPr>
          <w:rFonts w:ascii="Times New Roman" w:eastAsia="Times New Roman" w:hAnsi="Times New Roman" w:cs="Times New Roman"/>
          <w:lang w:eastAsia="en-GB"/>
        </w:rPr>
        <w:t xml:space="preserve"> was re-charged with burglary in the </w:t>
      </w:r>
      <w:r w:rsidRPr="001D0BFD">
        <w:rPr>
          <w:rFonts w:ascii="Times New Roman" w:eastAsia="Times New Roman" w:hAnsi="Times New Roman" w:cs="Times New Roman"/>
          <w:lang w:eastAsia="en-GB"/>
        </w:rPr>
        <w:lastRenderedPageBreak/>
        <w:t>second degree and criminal sabotage</w:t>
      </w:r>
      <w:r w:rsidR="00CA2E57">
        <w:rPr>
          <w:rFonts w:ascii="Times New Roman" w:eastAsia="Times New Roman" w:hAnsi="Times New Roman" w:cs="Times New Roman"/>
          <w:lang w:eastAsia="en-GB"/>
        </w:rPr>
        <w:t>.</w:t>
      </w:r>
      <w:r w:rsidRPr="001D0BFD">
        <w:rPr>
          <w:rFonts w:ascii="Times New Roman" w:eastAsia="Times New Roman" w:hAnsi="Times New Roman" w:cs="Times New Roman"/>
          <w:lang w:eastAsia="en-GB"/>
        </w:rPr>
        <w:t xml:space="preserve"> He was found guilty of </w:t>
      </w:r>
      <w:proofErr w:type="gramStart"/>
      <w:r w:rsidRPr="001D0BFD">
        <w:rPr>
          <w:rFonts w:ascii="Times New Roman" w:eastAsia="Times New Roman" w:hAnsi="Times New Roman" w:cs="Times New Roman"/>
          <w:lang w:eastAsia="en-GB"/>
        </w:rPr>
        <w:t>burglary</w:t>
      </w:r>
      <w:proofErr w:type="gramEnd"/>
      <w:r w:rsidRPr="001D0BFD">
        <w:rPr>
          <w:rFonts w:ascii="Times New Roman" w:eastAsia="Times New Roman" w:hAnsi="Times New Roman" w:cs="Times New Roman"/>
          <w:lang w:eastAsia="en-GB"/>
        </w:rPr>
        <w:t xml:space="preserve"> but the jury were unable to return a verdict on criminal sabotage. The trial court excluded all evidence in support of his necessity defence (including scientific evidence relating to the environmental impact of oil). The Court of Appeals of the State of Washington overturned this decision, finding this a breach of his constitutional right to present a defence. </w:t>
      </w:r>
    </w:p>
    <w:p w14:paraId="6D4B1D83"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75B80A32" w14:textId="1F4F9053" w:rsidR="001F697C"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 xml:space="preserve">The Court held that </w:t>
      </w:r>
      <w:r>
        <w:rPr>
          <w:rFonts w:ascii="Times New Roman" w:eastAsia="Times New Roman" w:hAnsi="Times New Roman" w:cs="Times New Roman"/>
          <w:lang w:eastAsia="en-GB"/>
        </w:rPr>
        <w:t>the Defendant</w:t>
      </w:r>
      <w:r w:rsidRPr="005E3217">
        <w:rPr>
          <w:rFonts w:ascii="Times New Roman" w:eastAsia="Times New Roman" w:hAnsi="Times New Roman" w:cs="Times New Roman"/>
          <w:lang w:eastAsia="en-GB"/>
        </w:rPr>
        <w:t xml:space="preserve"> should have been allowed </w:t>
      </w:r>
      <w:r w:rsidR="0060428B">
        <w:rPr>
          <w:rFonts w:ascii="Times New Roman" w:eastAsia="Times New Roman" w:hAnsi="Times New Roman" w:cs="Times New Roman"/>
          <w:lang w:eastAsia="en-GB"/>
        </w:rPr>
        <w:t xml:space="preserve">to </w:t>
      </w:r>
      <w:r w:rsidRPr="005E3217">
        <w:rPr>
          <w:rFonts w:ascii="Times New Roman" w:eastAsia="Times New Roman" w:hAnsi="Times New Roman" w:cs="Times New Roman"/>
          <w:lang w:eastAsia="en-GB"/>
        </w:rPr>
        <w:t xml:space="preserve">present the necessity defence to the jury. It was satisfied </w:t>
      </w:r>
      <w:r w:rsidR="00CA2E57">
        <w:rPr>
          <w:rFonts w:ascii="Times New Roman" w:eastAsia="Times New Roman" w:hAnsi="Times New Roman" w:cs="Times New Roman"/>
          <w:lang w:eastAsia="en-GB"/>
        </w:rPr>
        <w:t xml:space="preserve">that </w:t>
      </w:r>
      <w:r w:rsidRPr="005E3217">
        <w:rPr>
          <w:rFonts w:ascii="Times New Roman" w:eastAsia="Times New Roman" w:hAnsi="Times New Roman" w:cs="Times New Roman"/>
          <w:lang w:eastAsia="en-GB"/>
        </w:rPr>
        <w:t>he had demonstrated sufficient evidence “</w:t>
      </w:r>
      <w:r w:rsidRPr="005E3217">
        <w:rPr>
          <w:rFonts w:ascii="Times New Roman" w:eastAsia="Times New Roman" w:hAnsi="Times New Roman" w:cs="Times New Roman"/>
          <w:i/>
          <w:iCs/>
          <w:lang w:eastAsia="en-GB"/>
        </w:rPr>
        <w:t>that he reasonably believed the crimes he committed were necessary to minimize the harms that he perceived</w:t>
      </w:r>
      <w:r w:rsidRPr="005E3217">
        <w:rPr>
          <w:rFonts w:ascii="Times New Roman" w:eastAsia="Times New Roman" w:hAnsi="Times New Roman" w:cs="Times New Roman"/>
          <w:lang w:eastAsia="en-GB"/>
        </w:rPr>
        <w:t>”, including in relation to successful past acts of civil disobedience and his history of working on environmental issues for 40 years to no avail, such that “</w:t>
      </w:r>
      <w:r w:rsidRPr="005E3217">
        <w:rPr>
          <w:rFonts w:ascii="Times New Roman" w:eastAsia="Times New Roman" w:hAnsi="Times New Roman" w:cs="Times New Roman"/>
          <w:i/>
          <w:iCs/>
          <w:lang w:eastAsia="en-GB"/>
        </w:rPr>
        <w:t>direct action was necessary to accomplish these goals</w:t>
      </w:r>
      <w:r w:rsidRPr="005E3217">
        <w:rPr>
          <w:rFonts w:ascii="Times New Roman" w:eastAsia="Times New Roman" w:hAnsi="Times New Roman" w:cs="Times New Roman"/>
          <w:lang w:eastAsia="en-GB"/>
        </w:rPr>
        <w:t>”</w:t>
      </w:r>
      <w:r>
        <w:rPr>
          <w:rFonts w:ascii="Times New Roman" w:eastAsia="Times New Roman" w:hAnsi="Times New Roman" w:cs="Times New Roman"/>
          <w:lang w:eastAsia="en-GB"/>
        </w:rPr>
        <w:t>(at p.6)</w:t>
      </w:r>
      <w:r w:rsidRPr="005E3217">
        <w:rPr>
          <w:rFonts w:ascii="Times New Roman" w:eastAsia="Times New Roman" w:hAnsi="Times New Roman" w:cs="Times New Roman"/>
          <w:lang w:eastAsia="en-GB"/>
        </w:rPr>
        <w:t xml:space="preserve">. The Court found explicitly that </w:t>
      </w:r>
      <w:r w:rsidRPr="00CA2E57">
        <w:rPr>
          <w:rFonts w:ascii="Times New Roman" w:eastAsia="Times New Roman" w:hAnsi="Times New Roman" w:cs="Times New Roman"/>
          <w:i/>
          <w:iCs/>
          <w:lang w:eastAsia="en-GB"/>
        </w:rPr>
        <w:t>“[w</w:t>
      </w:r>
      <w:r w:rsidRPr="005E3217">
        <w:rPr>
          <w:rFonts w:ascii="Times New Roman" w:eastAsia="Times New Roman" w:hAnsi="Times New Roman" w:cs="Times New Roman"/>
          <w:i/>
          <w:iCs/>
          <w:lang w:eastAsia="en-GB"/>
        </w:rPr>
        <w:t>]</w:t>
      </w:r>
      <w:proofErr w:type="spellStart"/>
      <w:r w:rsidRPr="005E3217">
        <w:rPr>
          <w:rFonts w:ascii="Times New Roman" w:eastAsia="Times New Roman" w:hAnsi="Times New Roman" w:cs="Times New Roman"/>
          <w:i/>
          <w:iCs/>
          <w:lang w:eastAsia="en-GB"/>
        </w:rPr>
        <w:t>hether</w:t>
      </w:r>
      <w:proofErr w:type="spellEnd"/>
      <w:r w:rsidRPr="005E3217">
        <w:rPr>
          <w:rFonts w:ascii="Times New Roman" w:eastAsia="Times New Roman" w:hAnsi="Times New Roman" w:cs="Times New Roman"/>
          <w:i/>
          <w:iCs/>
          <w:lang w:eastAsia="en-GB"/>
        </w:rPr>
        <w:t xml:space="preserve"> Ward’s beliefs were reasonable was a question for the jury</w:t>
      </w:r>
      <w:r w:rsidRPr="005E3217">
        <w:rPr>
          <w:rFonts w:ascii="Times New Roman" w:eastAsia="Times New Roman" w:hAnsi="Times New Roman" w:cs="Times New Roman"/>
          <w:lang w:eastAsia="en-GB"/>
        </w:rPr>
        <w:t>”,  and noted</w:t>
      </w:r>
      <w:r>
        <w:rPr>
          <w:rFonts w:ascii="Times New Roman" w:eastAsia="Times New Roman" w:hAnsi="Times New Roman" w:cs="Times New Roman"/>
          <w:lang w:eastAsia="en-GB"/>
        </w:rPr>
        <w:t xml:space="preserve"> (at p.7)</w:t>
      </w:r>
      <w:r w:rsidRPr="005E3217">
        <w:rPr>
          <w:rFonts w:ascii="Times New Roman" w:eastAsia="Times New Roman" w:hAnsi="Times New Roman" w:cs="Times New Roman"/>
          <w:lang w:eastAsia="en-GB"/>
        </w:rPr>
        <w:t xml:space="preserve"> that he “</w:t>
      </w:r>
      <w:r w:rsidRPr="005E3217">
        <w:rPr>
          <w:rFonts w:ascii="Times New Roman" w:eastAsia="Times New Roman" w:hAnsi="Times New Roman" w:cs="Times New Roman"/>
          <w:i/>
          <w:iCs/>
          <w:lang w:eastAsia="en-GB"/>
        </w:rPr>
        <w:t>did not have to prove that the harm he sought to avoid or minimize was actually avoided or minimized but instead that the reason he broke the law was in an attempt to avoid or minimize harm”</w:t>
      </w:r>
      <w:r w:rsidRPr="005E3217">
        <w:rPr>
          <w:rFonts w:ascii="Times New Roman" w:eastAsia="Times New Roman" w:hAnsi="Times New Roman" w:cs="Times New Roman"/>
          <w:lang w:eastAsia="en-GB"/>
        </w:rPr>
        <w:t xml:space="preserve">. </w:t>
      </w:r>
    </w:p>
    <w:p w14:paraId="306C17AD" w14:textId="77777777" w:rsidR="001F697C" w:rsidRPr="00F736DC" w:rsidRDefault="001F697C" w:rsidP="001F697C">
      <w:pPr>
        <w:pStyle w:val="ListParagraph"/>
        <w:spacing w:line="360" w:lineRule="auto"/>
        <w:rPr>
          <w:rFonts w:ascii="Times New Roman" w:eastAsia="Times New Roman" w:hAnsi="Times New Roman" w:cs="Times New Roman"/>
          <w:lang w:eastAsia="en-GB"/>
        </w:rPr>
      </w:pPr>
    </w:p>
    <w:p w14:paraId="3DD516E6" w14:textId="6924528E" w:rsidR="001F697C" w:rsidRPr="005E3217"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The Court was of the view that</w:t>
      </w:r>
      <w:r>
        <w:rPr>
          <w:rFonts w:ascii="Times New Roman" w:eastAsia="Times New Roman" w:hAnsi="Times New Roman" w:cs="Times New Roman"/>
          <w:lang w:eastAsia="en-GB"/>
        </w:rPr>
        <w:t xml:space="preserve"> (at </w:t>
      </w:r>
      <w:r w:rsidR="00CA2E57">
        <w:rPr>
          <w:rFonts w:ascii="Times New Roman" w:eastAsia="Times New Roman" w:hAnsi="Times New Roman" w:cs="Times New Roman"/>
          <w:lang w:eastAsia="en-GB"/>
        </w:rPr>
        <w:t>pp.</w:t>
      </w:r>
      <w:r>
        <w:rPr>
          <w:rFonts w:ascii="Times New Roman" w:eastAsia="Times New Roman" w:hAnsi="Times New Roman" w:cs="Times New Roman"/>
          <w:lang w:eastAsia="en-GB"/>
        </w:rPr>
        <w:t>9-</w:t>
      </w:r>
      <w:proofErr w:type="gramStart"/>
      <w:r>
        <w:rPr>
          <w:rFonts w:ascii="Times New Roman" w:eastAsia="Times New Roman" w:hAnsi="Times New Roman" w:cs="Times New Roman"/>
          <w:lang w:eastAsia="en-GB"/>
        </w:rPr>
        <w:t>10)</w:t>
      </w:r>
      <w:r w:rsidRPr="005E3217">
        <w:rPr>
          <w:rFonts w:ascii="Times New Roman" w:eastAsia="Times New Roman" w:hAnsi="Times New Roman" w:cs="Times New Roman"/>
          <w:i/>
          <w:iCs/>
          <w:lang w:eastAsia="en-GB"/>
        </w:rPr>
        <w:t>“</w:t>
      </w:r>
      <w:proofErr w:type="gramEnd"/>
      <w:r w:rsidRPr="005E3217">
        <w:rPr>
          <w:rFonts w:ascii="Times New Roman" w:eastAsia="Times New Roman" w:hAnsi="Times New Roman" w:cs="Times New Roman"/>
          <w:i/>
          <w:iCs/>
          <w:lang w:eastAsia="en-GB"/>
        </w:rPr>
        <w:t xml:space="preserve">[w]hen disobedience and the necessity </w:t>
      </w:r>
      <w:proofErr w:type="spellStart"/>
      <w:r w:rsidRPr="005E3217">
        <w:rPr>
          <w:rFonts w:ascii="Times New Roman" w:eastAsia="Times New Roman" w:hAnsi="Times New Roman" w:cs="Times New Roman"/>
          <w:i/>
          <w:iCs/>
          <w:lang w:eastAsia="en-GB"/>
        </w:rPr>
        <w:t>defense</w:t>
      </w:r>
      <w:proofErr w:type="spellEnd"/>
      <w:r w:rsidRPr="005E3217">
        <w:rPr>
          <w:rFonts w:ascii="Times New Roman" w:eastAsia="Times New Roman" w:hAnsi="Times New Roman" w:cs="Times New Roman"/>
          <w:i/>
          <w:iCs/>
          <w:lang w:eastAsia="en-GB"/>
        </w:rPr>
        <w:t xml:space="preserve"> intersect, it is the intent of the protester, not the effectiveness of the protest, that is of the utmost relevance</w:t>
      </w:r>
      <w:r w:rsidRPr="005E3217">
        <w:rPr>
          <w:rFonts w:ascii="Times New Roman" w:eastAsia="Times New Roman" w:hAnsi="Times New Roman" w:cs="Times New Roman"/>
          <w:lang w:eastAsia="en-GB"/>
        </w:rPr>
        <w:t>”. The Court did engage in detail with his actions, finding them more than merely symbolic but rather aimed at preventing a particular potent contributor to climate change from entering the United States.</w:t>
      </w:r>
    </w:p>
    <w:p w14:paraId="32DC413C"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46BF5FCE" w14:textId="336D5873" w:rsidR="001F697C" w:rsidRPr="005E3217"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 xml:space="preserve">Similarly in </w:t>
      </w:r>
      <w:r w:rsidRPr="005E3217">
        <w:rPr>
          <w:rFonts w:ascii="Times New Roman" w:eastAsia="Times New Roman" w:hAnsi="Times New Roman" w:cs="Times New Roman"/>
          <w:b/>
          <w:bCs/>
          <w:i/>
          <w:iCs/>
          <w:lang w:eastAsia="en-GB"/>
        </w:rPr>
        <w:t>State of Washington v</w:t>
      </w:r>
      <w:r w:rsidR="00CA2E57">
        <w:rPr>
          <w:rFonts w:ascii="Times New Roman" w:eastAsia="Times New Roman" w:hAnsi="Times New Roman" w:cs="Times New Roman"/>
          <w:b/>
          <w:bCs/>
          <w:i/>
          <w:iCs/>
          <w:lang w:eastAsia="en-GB"/>
        </w:rPr>
        <w:t>.</w:t>
      </w:r>
      <w:r w:rsidRPr="005E3217">
        <w:rPr>
          <w:rFonts w:ascii="Times New Roman" w:eastAsia="Times New Roman" w:hAnsi="Times New Roman" w:cs="Times New Roman"/>
          <w:b/>
          <w:bCs/>
          <w:i/>
          <w:iCs/>
          <w:lang w:eastAsia="en-GB"/>
        </w:rPr>
        <w:t xml:space="preserve"> Spokane County District Court &amp; Taylor</w:t>
      </w:r>
      <w:r w:rsidR="00CA2E57">
        <w:rPr>
          <w:rFonts w:ascii="Times New Roman" w:eastAsia="Times New Roman" w:hAnsi="Times New Roman" w:cs="Times New Roman"/>
          <w:lang w:eastAsia="en-GB"/>
        </w:rPr>
        <w:t>,</w:t>
      </w:r>
      <w:r>
        <w:rPr>
          <w:rFonts w:ascii="Times New Roman" w:eastAsia="Times New Roman" w:hAnsi="Times New Roman" w:cs="Times New Roman"/>
          <w:b/>
          <w:bCs/>
          <w:i/>
          <w:iCs/>
          <w:lang w:eastAsia="en-GB"/>
        </w:rPr>
        <w:t xml:space="preserve"> </w:t>
      </w:r>
      <w:r w:rsidRPr="00D26D1E">
        <w:rPr>
          <w:rFonts w:ascii="Times New Roman" w:hAnsi="Times New Roman" w:cs="Times New Roman"/>
        </w:rPr>
        <w:t>No. 98719-0, Wash. Ct. App. Div. I, 15 July 2021</w:t>
      </w:r>
      <w:r w:rsidRPr="005E3217">
        <w:rPr>
          <w:rFonts w:ascii="Times New Roman" w:eastAsia="Times New Roman" w:hAnsi="Times New Roman" w:cs="Times New Roman"/>
          <w:lang w:eastAsia="en-GB"/>
        </w:rPr>
        <w:t xml:space="preserve">, the Supreme Court of the State of Washington overturned the lower court’s decision to exclude the necessity defence in respect of a protester who had been convicted of criminal trespass and obstruction of a train. </w:t>
      </w:r>
      <w:proofErr w:type="gramStart"/>
      <w:r w:rsidRPr="005E3217">
        <w:rPr>
          <w:rFonts w:ascii="Times New Roman" w:eastAsia="Times New Roman" w:hAnsi="Times New Roman" w:cs="Times New Roman"/>
          <w:lang w:eastAsia="en-GB"/>
        </w:rPr>
        <w:t>Again</w:t>
      </w:r>
      <w:proofErr w:type="gramEnd"/>
      <w:r w:rsidRPr="005E3217">
        <w:rPr>
          <w:rFonts w:ascii="Times New Roman" w:eastAsia="Times New Roman" w:hAnsi="Times New Roman" w:cs="Times New Roman"/>
          <w:lang w:eastAsia="en-GB"/>
        </w:rPr>
        <w:t xml:space="preserve"> the defence was premised on the view that the protester believed his actions “</w:t>
      </w:r>
      <w:r w:rsidRPr="005E3217">
        <w:rPr>
          <w:rFonts w:ascii="Times New Roman" w:eastAsia="Times New Roman" w:hAnsi="Times New Roman" w:cs="Times New Roman"/>
          <w:i/>
          <w:iCs/>
          <w:lang w:eastAsia="en-GB"/>
        </w:rPr>
        <w:t>were necessary to avoid or minimize the imminent danger of climate change and the imminent risk of danger to Spokane citizens in the downtown area where BNSF Railway transports volatile oil</w:t>
      </w:r>
      <w:r w:rsidRPr="005E3217">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(p.3)</w:t>
      </w:r>
      <w:r w:rsidRPr="005E3217">
        <w:rPr>
          <w:rFonts w:ascii="Times New Roman" w:eastAsia="Times New Roman" w:hAnsi="Times New Roman" w:cs="Times New Roman"/>
          <w:lang w:eastAsia="en-GB"/>
        </w:rPr>
        <w:t xml:space="preserve">. The test in this regard, as had been stated in </w:t>
      </w:r>
      <w:r w:rsidRPr="005E3217">
        <w:rPr>
          <w:rFonts w:ascii="Times New Roman" w:eastAsia="Times New Roman" w:hAnsi="Times New Roman" w:cs="Times New Roman"/>
          <w:i/>
          <w:iCs/>
          <w:lang w:eastAsia="en-GB"/>
        </w:rPr>
        <w:t>Ward</w:t>
      </w:r>
      <w:r w:rsidRPr="005E3217">
        <w:rPr>
          <w:rFonts w:ascii="Times New Roman" w:eastAsia="Times New Roman" w:hAnsi="Times New Roman" w:cs="Times New Roman"/>
          <w:lang w:eastAsia="en-GB"/>
        </w:rPr>
        <w:t>, was that</w:t>
      </w:r>
      <w:r>
        <w:rPr>
          <w:rFonts w:ascii="Times New Roman" w:eastAsia="Times New Roman" w:hAnsi="Times New Roman" w:cs="Times New Roman"/>
          <w:lang w:eastAsia="en-GB"/>
        </w:rPr>
        <w:t xml:space="preserve"> (p</w:t>
      </w:r>
      <w:r w:rsidR="00CA2E57">
        <w:rPr>
          <w:rFonts w:ascii="Times New Roman" w:eastAsia="Times New Roman" w:hAnsi="Times New Roman" w:cs="Times New Roman"/>
          <w:lang w:eastAsia="en-GB"/>
        </w:rPr>
        <w:t>p</w:t>
      </w:r>
      <w:r>
        <w:rPr>
          <w:rFonts w:ascii="Times New Roman" w:eastAsia="Times New Roman" w:hAnsi="Times New Roman" w:cs="Times New Roman"/>
          <w:lang w:eastAsia="en-GB"/>
        </w:rPr>
        <w:t>.10-11)</w:t>
      </w:r>
      <w:r w:rsidRPr="005E3217">
        <w:rPr>
          <w:rFonts w:ascii="Times New Roman" w:eastAsia="Times New Roman" w:hAnsi="Times New Roman" w:cs="Times New Roman"/>
          <w:lang w:eastAsia="en-GB"/>
        </w:rPr>
        <w:t>:</w:t>
      </w:r>
    </w:p>
    <w:p w14:paraId="36CB46D7"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2F697A40" w14:textId="77777777" w:rsidR="001F697C" w:rsidRPr="00D26D1E" w:rsidRDefault="001F697C" w:rsidP="0060428B">
      <w:pPr>
        <w:spacing w:line="360" w:lineRule="auto"/>
        <w:ind w:left="644"/>
        <w:jc w:val="both"/>
        <w:rPr>
          <w:rFonts w:ascii="Times New Roman" w:eastAsia="Times New Roman" w:hAnsi="Times New Roman" w:cs="Times New Roman"/>
          <w:i/>
          <w:iCs/>
          <w:lang w:eastAsia="en-GB"/>
        </w:rPr>
      </w:pPr>
      <w:r w:rsidRPr="00D26D1E">
        <w:rPr>
          <w:rFonts w:ascii="Times New Roman" w:eastAsia="Times New Roman" w:hAnsi="Times New Roman" w:cs="Times New Roman"/>
          <w:i/>
          <w:iCs/>
          <w:lang w:eastAsia="en-GB"/>
        </w:rPr>
        <w:lastRenderedPageBreak/>
        <w:t xml:space="preserve">“To raise the necessity </w:t>
      </w:r>
      <w:proofErr w:type="spellStart"/>
      <w:r w:rsidRPr="00D26D1E">
        <w:rPr>
          <w:rFonts w:ascii="Times New Roman" w:eastAsia="Times New Roman" w:hAnsi="Times New Roman" w:cs="Times New Roman"/>
          <w:i/>
          <w:iCs/>
          <w:lang w:eastAsia="en-GB"/>
        </w:rPr>
        <w:t>defense</w:t>
      </w:r>
      <w:proofErr w:type="spellEnd"/>
      <w:r w:rsidRPr="00D26D1E">
        <w:rPr>
          <w:rFonts w:ascii="Times New Roman" w:eastAsia="Times New Roman" w:hAnsi="Times New Roman" w:cs="Times New Roman"/>
          <w:i/>
          <w:iCs/>
          <w:lang w:eastAsia="en-GB"/>
        </w:rPr>
        <w:t>, a defendant must show by a preponderance of the evidence that “(1) [the defendant] reasonably believed the commission of the crime was necessary to avoid or minimize a harm, (2) the harm sought to be avoided was greater than the harm resulting from a violation of the law, (3) the threatened harm was not brought about by the defendant, and (4) no reasonable legal alternative existed.”</w:t>
      </w:r>
    </w:p>
    <w:p w14:paraId="7C83C269"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65C63C30" w14:textId="728976E4" w:rsidR="001F697C" w:rsidRPr="005E3217"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The case focused on the fourth limb, with the Court noting that “</w:t>
      </w:r>
      <w:r w:rsidRPr="005E3217">
        <w:rPr>
          <w:rFonts w:ascii="Times New Roman" w:eastAsia="Times New Roman" w:hAnsi="Times New Roman" w:cs="Times New Roman"/>
          <w:i/>
          <w:iCs/>
          <w:lang w:eastAsia="en-GB"/>
        </w:rPr>
        <w:t>while there may be alternatives in the abstract, it is ultimately a question for the ‘fact finder’ to take into consideration, when determining whether the ultimate course of action was ‘reasonably necessary</w:t>
      </w:r>
      <w:r w:rsidRPr="005E3217">
        <w:rPr>
          <w:rFonts w:ascii="Times New Roman" w:eastAsia="Times New Roman" w:hAnsi="Times New Roman" w:cs="Times New Roman"/>
          <w:lang w:eastAsia="en-GB"/>
        </w:rPr>
        <w:t>.’”</w:t>
      </w:r>
      <w:r w:rsidR="00CA2E5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(p.12). </w:t>
      </w:r>
      <w:proofErr w:type="gramStart"/>
      <w:r w:rsidRPr="005E3217">
        <w:rPr>
          <w:rFonts w:ascii="Times New Roman" w:eastAsia="Times New Roman" w:hAnsi="Times New Roman" w:cs="Times New Roman"/>
          <w:lang w:eastAsia="en-GB"/>
        </w:rPr>
        <w:t>In order to</w:t>
      </w:r>
      <w:proofErr w:type="gramEnd"/>
      <w:r w:rsidRPr="005E3217">
        <w:rPr>
          <w:rFonts w:ascii="Times New Roman" w:eastAsia="Times New Roman" w:hAnsi="Times New Roman" w:cs="Times New Roman"/>
          <w:lang w:eastAsia="en-GB"/>
        </w:rPr>
        <w:t xml:space="preserve"> be “reasonable”, the alternatives must be effective or adequate in avoiding the purported harm. Illusory alternatives are not such. The </w:t>
      </w:r>
      <w:r w:rsidR="00CA2E57">
        <w:rPr>
          <w:rFonts w:ascii="Times New Roman" w:eastAsia="Times New Roman" w:hAnsi="Times New Roman" w:cs="Times New Roman"/>
          <w:lang w:eastAsia="en-GB"/>
        </w:rPr>
        <w:t>C</w:t>
      </w:r>
      <w:r w:rsidRPr="005E3217">
        <w:rPr>
          <w:rFonts w:ascii="Times New Roman" w:eastAsia="Times New Roman" w:hAnsi="Times New Roman" w:cs="Times New Roman"/>
          <w:lang w:eastAsia="en-GB"/>
        </w:rPr>
        <w:t>ourt concluded that</w:t>
      </w:r>
      <w:r>
        <w:rPr>
          <w:rFonts w:ascii="Times New Roman" w:eastAsia="Times New Roman" w:hAnsi="Times New Roman" w:cs="Times New Roman"/>
          <w:lang w:eastAsia="en-GB"/>
        </w:rPr>
        <w:t xml:space="preserve"> (at p.14)</w:t>
      </w:r>
      <w:r w:rsidRPr="005E3217">
        <w:rPr>
          <w:rFonts w:ascii="Times New Roman" w:eastAsia="Times New Roman" w:hAnsi="Times New Roman" w:cs="Times New Roman"/>
          <w:lang w:eastAsia="en-GB"/>
        </w:rPr>
        <w:t>:</w:t>
      </w:r>
    </w:p>
    <w:p w14:paraId="00FFFBFF"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77731118" w14:textId="77777777" w:rsidR="001F697C" w:rsidRPr="007E3BC8" w:rsidRDefault="001F697C" w:rsidP="0060428B">
      <w:pPr>
        <w:spacing w:line="360" w:lineRule="auto"/>
        <w:ind w:left="644"/>
        <w:jc w:val="both"/>
        <w:rPr>
          <w:rFonts w:ascii="Times New Roman" w:eastAsia="Times New Roman" w:hAnsi="Times New Roman" w:cs="Times New Roman"/>
          <w:i/>
          <w:iCs/>
          <w:lang w:eastAsia="en-GB"/>
        </w:rPr>
      </w:pPr>
      <w:r w:rsidRPr="007E3BC8">
        <w:rPr>
          <w:rFonts w:ascii="Times New Roman" w:eastAsia="Times New Roman" w:hAnsi="Times New Roman" w:cs="Times New Roman"/>
          <w:i/>
          <w:iCs/>
          <w:lang w:eastAsia="en-GB"/>
        </w:rPr>
        <w:t>“If the defendant offers evidence that they have actually tried the alternative, had no time to try it, or have a history of futile attempts with the alternative, they have created a question of fact for the jury regarding whether there are reasonable legal alternatives.”</w:t>
      </w:r>
    </w:p>
    <w:p w14:paraId="1463AD0D" w14:textId="77777777" w:rsidR="001F697C" w:rsidRPr="005E3217" w:rsidRDefault="001F697C" w:rsidP="001F697C">
      <w:pPr>
        <w:pStyle w:val="ListParagraph"/>
        <w:spacing w:line="360" w:lineRule="auto"/>
        <w:ind w:left="644"/>
        <w:jc w:val="both"/>
        <w:rPr>
          <w:rFonts w:ascii="Times New Roman" w:eastAsia="Times New Roman" w:hAnsi="Times New Roman" w:cs="Times New Roman"/>
          <w:lang w:eastAsia="en-GB"/>
        </w:rPr>
      </w:pPr>
    </w:p>
    <w:p w14:paraId="4EF276CE" w14:textId="65F84CB3" w:rsidR="001F697C" w:rsidRPr="00F70FEC"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The defendant had so created a question of fact in his case, by reference to his dedicating “</w:t>
      </w:r>
      <w:r w:rsidRPr="005E3217">
        <w:rPr>
          <w:rFonts w:ascii="Times New Roman" w:eastAsia="Times New Roman" w:hAnsi="Times New Roman" w:cs="Times New Roman"/>
          <w:i/>
          <w:iCs/>
          <w:lang w:eastAsia="en-GB"/>
        </w:rPr>
        <w:t>much of his life calling attention to the harms of climate change through lawful methods</w:t>
      </w:r>
      <w:r w:rsidRPr="005E3217">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(at p.15)</w:t>
      </w:r>
      <w:r w:rsidRPr="005E3217">
        <w:rPr>
          <w:rFonts w:ascii="Times New Roman" w:eastAsia="Times New Roman" w:hAnsi="Times New Roman" w:cs="Times New Roman"/>
          <w:lang w:eastAsia="en-GB"/>
        </w:rPr>
        <w:t>.</w:t>
      </w:r>
    </w:p>
    <w:p w14:paraId="1DEF78E4" w14:textId="77777777" w:rsidR="001F697C" w:rsidRPr="0060428B" w:rsidRDefault="001F697C" w:rsidP="0060428B">
      <w:pPr>
        <w:spacing w:line="360" w:lineRule="auto"/>
        <w:jc w:val="both"/>
        <w:rPr>
          <w:rFonts w:ascii="Times New Roman" w:eastAsia="Times New Roman" w:hAnsi="Times New Roman" w:cs="Times New Roman"/>
          <w:lang w:eastAsia="en-GB"/>
        </w:rPr>
      </w:pPr>
    </w:p>
    <w:p w14:paraId="06FD7303" w14:textId="1BE85FDB" w:rsidR="001F697C" w:rsidRDefault="001F697C" w:rsidP="001F697C">
      <w:pPr>
        <w:pStyle w:val="ListParagraph"/>
        <w:numPr>
          <w:ilvl w:val="0"/>
          <w:numId w:val="1"/>
        </w:numPr>
        <w:spacing w:line="360" w:lineRule="auto"/>
        <w:jc w:val="both"/>
        <w:rPr>
          <w:rFonts w:ascii="Times New Roman" w:eastAsia="Times New Roman" w:hAnsi="Times New Roman" w:cs="Times New Roman"/>
          <w:lang w:eastAsia="en-GB"/>
        </w:rPr>
      </w:pPr>
      <w:r w:rsidRPr="005E3217">
        <w:rPr>
          <w:rFonts w:ascii="Times New Roman" w:eastAsia="Times New Roman" w:hAnsi="Times New Roman" w:cs="Times New Roman"/>
          <w:lang w:eastAsia="en-GB"/>
        </w:rPr>
        <w:t xml:space="preserve">The necessity defence has also been accepted by judges where they are the finders of fact. In </w:t>
      </w:r>
      <w:r w:rsidRPr="005E3217">
        <w:rPr>
          <w:rFonts w:ascii="Times New Roman" w:eastAsia="Times New Roman" w:hAnsi="Times New Roman" w:cs="Times New Roman"/>
          <w:b/>
          <w:bCs/>
          <w:i/>
          <w:iCs/>
          <w:lang w:eastAsia="en-GB"/>
        </w:rPr>
        <w:t>Massachusetts v</w:t>
      </w:r>
      <w:r w:rsidR="00CA2E57">
        <w:rPr>
          <w:rFonts w:ascii="Times New Roman" w:eastAsia="Times New Roman" w:hAnsi="Times New Roman" w:cs="Times New Roman"/>
          <w:b/>
          <w:bCs/>
          <w:i/>
          <w:iCs/>
          <w:lang w:eastAsia="en-GB"/>
        </w:rPr>
        <w:t>.</w:t>
      </w:r>
      <w:r w:rsidRPr="005E3217">
        <w:rPr>
          <w:rFonts w:ascii="Times New Roman" w:eastAsia="Times New Roman" w:hAnsi="Times New Roman" w:cs="Times New Roman"/>
          <w:b/>
          <w:bCs/>
          <w:i/>
          <w:iCs/>
          <w:lang w:eastAsia="en-GB"/>
        </w:rPr>
        <w:t xml:space="preserve"> Gore</w:t>
      </w:r>
      <w:r w:rsidRPr="005E3217">
        <w:rPr>
          <w:rFonts w:ascii="Times New Roman" w:eastAsia="Times New Roman" w:hAnsi="Times New Roman" w:cs="Times New Roman"/>
          <w:lang w:eastAsia="en-GB"/>
        </w:rPr>
        <w:t>,</w:t>
      </w:r>
      <w:r w:rsidRPr="007E5D2E">
        <w:t xml:space="preserve"> </w:t>
      </w:r>
      <w:r w:rsidRPr="007E5D2E">
        <w:rPr>
          <w:rFonts w:ascii="Times New Roman" w:eastAsia="Times New Roman" w:hAnsi="Times New Roman" w:cs="Times New Roman"/>
          <w:lang w:eastAsia="en-GB"/>
        </w:rPr>
        <w:t>(Boston Mun. Ct., Mass., No. 1606CR000923, Mar. 27, 2018)</w:t>
      </w:r>
      <w:r>
        <w:rPr>
          <w:rFonts w:ascii="Times New Roman" w:eastAsia="Times New Roman" w:hAnsi="Times New Roman" w:cs="Times New Roman"/>
          <w:lang w:eastAsia="en-GB"/>
        </w:rPr>
        <w:t xml:space="preserve"> </w:t>
      </w:r>
      <w:r w:rsidRPr="005E3217">
        <w:rPr>
          <w:rFonts w:ascii="Times New Roman" w:eastAsia="Times New Roman" w:hAnsi="Times New Roman" w:cs="Times New Roman"/>
          <w:lang w:eastAsia="en-GB"/>
        </w:rPr>
        <w:t>activists blocked the construction of a gas pipeline in Boston by entering the construction site and refusing to leave. Sixteen were charged with trespass and disorderly conduct, with the charges reduced shortly before trial to civil infractions, such that there was no jury trial. The judge as finder of fact accepted the necessity defence and found them not responsible</w:t>
      </w:r>
      <w:r>
        <w:rPr>
          <w:rFonts w:ascii="Times New Roman" w:eastAsia="Times New Roman" w:hAnsi="Times New Roman" w:cs="Times New Roman"/>
          <w:lang w:eastAsia="en-GB"/>
        </w:rPr>
        <w:t>.</w:t>
      </w:r>
    </w:p>
    <w:p w14:paraId="4431F133" w14:textId="77777777" w:rsidR="001F697C" w:rsidRPr="00EE4578" w:rsidRDefault="001F697C" w:rsidP="001F697C">
      <w:pPr>
        <w:pStyle w:val="ListParagraph"/>
        <w:spacing w:line="360" w:lineRule="auto"/>
        <w:rPr>
          <w:rFonts w:ascii="Times New Roman" w:eastAsia="Times New Roman" w:hAnsi="Times New Roman" w:cs="Times New Roman"/>
          <w:lang w:eastAsia="en-GB"/>
        </w:rPr>
      </w:pPr>
    </w:p>
    <w:p w14:paraId="4AFF0F13" w14:textId="4D3BE67D" w:rsidR="001F697C" w:rsidRPr="006C561D" w:rsidRDefault="001F697C" w:rsidP="001F697C">
      <w:pPr>
        <w:pStyle w:val="ListParagraph"/>
        <w:numPr>
          <w:ilvl w:val="0"/>
          <w:numId w:val="1"/>
        </w:numPr>
        <w:spacing w:line="360" w:lineRule="auto"/>
        <w:jc w:val="both"/>
        <w:rPr>
          <w:rFonts w:ascii="Times New Roman" w:hAnsi="Times New Roman" w:cs="Times New Roman"/>
        </w:rPr>
      </w:pPr>
      <w:r w:rsidRPr="00706DAF">
        <w:rPr>
          <w:rFonts w:ascii="Times New Roman" w:eastAsia="Times New Roman" w:hAnsi="Times New Roman" w:cs="Times New Roman"/>
          <w:lang w:eastAsia="en-GB"/>
        </w:rPr>
        <w:t xml:space="preserve">In the Canadian case of </w:t>
      </w:r>
      <w:r w:rsidRPr="00706DAF">
        <w:rPr>
          <w:rFonts w:ascii="Times New Roman" w:hAnsi="Times New Roman" w:cs="Times New Roman"/>
          <w:b/>
          <w:bCs/>
          <w:i/>
          <w:iCs/>
        </w:rPr>
        <w:t>R v</w:t>
      </w:r>
      <w:r w:rsidR="00CA2E57">
        <w:rPr>
          <w:rFonts w:ascii="Times New Roman" w:hAnsi="Times New Roman" w:cs="Times New Roman"/>
          <w:b/>
          <w:bCs/>
          <w:i/>
          <w:iCs/>
        </w:rPr>
        <w:t>.</w:t>
      </w:r>
      <w:r w:rsidRPr="00706DAF">
        <w:rPr>
          <w:rFonts w:ascii="Times New Roman" w:hAnsi="Times New Roman" w:cs="Times New Roman"/>
          <w:b/>
          <w:bCs/>
          <w:i/>
          <w:iCs/>
        </w:rPr>
        <w:t xml:space="preserve"> </w:t>
      </w:r>
      <w:r w:rsidRPr="00824073">
        <w:rPr>
          <w:rFonts w:ascii="Times New Roman" w:hAnsi="Times New Roman" w:cs="Times New Roman"/>
          <w:b/>
          <w:bCs/>
          <w:i/>
          <w:iCs/>
        </w:rPr>
        <w:t xml:space="preserve">Breen </w:t>
      </w:r>
      <w:r w:rsidRPr="00824073">
        <w:rPr>
          <w:rFonts w:ascii="Times New Roman" w:hAnsi="Times New Roman" w:cs="Times New Roman"/>
        </w:rPr>
        <w:t>[2024] BCPC 95,</w:t>
      </w:r>
      <w:r w:rsidRPr="00706DAF">
        <w:rPr>
          <w:rFonts w:ascii="Times New Roman" w:hAnsi="Times New Roman" w:cs="Times New Roman"/>
        </w:rPr>
        <w:t xml:space="preserve"> two anti-logging activists who had carried out several road blockades were allowed to invoke the necessity defence</w:t>
      </w:r>
      <w:r>
        <w:rPr>
          <w:rFonts w:ascii="Times New Roman" w:hAnsi="Times New Roman" w:cs="Times New Roman"/>
        </w:rPr>
        <w:t xml:space="preserve">. The </w:t>
      </w:r>
      <w:r w:rsidRPr="00706DAF">
        <w:rPr>
          <w:rFonts w:ascii="Times New Roman" w:hAnsi="Times New Roman" w:cs="Times New Roman"/>
        </w:rPr>
        <w:t>Provincial Court of British Columbia reject</w:t>
      </w:r>
      <w:r>
        <w:rPr>
          <w:rFonts w:ascii="Times New Roman" w:hAnsi="Times New Roman" w:cs="Times New Roman"/>
        </w:rPr>
        <w:t>ed</w:t>
      </w:r>
      <w:r w:rsidRPr="00706DAF">
        <w:rPr>
          <w:rFonts w:ascii="Times New Roman" w:hAnsi="Times New Roman" w:cs="Times New Roman"/>
        </w:rPr>
        <w:t xml:space="preserve"> the Crown’s argument that there was no air of reality to the defence and thus no need to hear evidence on it. The Court </w:t>
      </w:r>
      <w:r w:rsidRPr="00706DAF">
        <w:rPr>
          <w:rFonts w:ascii="Times New Roman" w:hAnsi="Times New Roman" w:cs="Times New Roman"/>
        </w:rPr>
        <w:lastRenderedPageBreak/>
        <w:t>acknowledged that climate change constitutes “</w:t>
      </w:r>
      <w:r w:rsidRPr="00706DAF">
        <w:rPr>
          <w:rFonts w:ascii="Times New Roman" w:hAnsi="Times New Roman" w:cs="Times New Roman"/>
          <w:i/>
          <w:iCs/>
        </w:rPr>
        <w:t>an existential threat to life in Canada and around the world</w:t>
      </w:r>
      <w:r w:rsidRPr="00706DAF">
        <w:rPr>
          <w:rFonts w:ascii="Times New Roman" w:hAnsi="Times New Roman" w:cs="Times New Roman"/>
        </w:rPr>
        <w:t>”</w:t>
      </w:r>
      <w:r>
        <w:rPr>
          <w:rFonts w:ascii="Times New Roman" w:hAnsi="Times New Roman" w:cs="Times New Roman"/>
        </w:rPr>
        <w:t xml:space="preserve"> (at §6)</w:t>
      </w:r>
      <w:r w:rsidRPr="00706DAF">
        <w:rPr>
          <w:rFonts w:ascii="Times New Roman" w:hAnsi="Times New Roman" w:cs="Times New Roman"/>
        </w:rPr>
        <w:t>. It emphasi</w:t>
      </w:r>
      <w:r w:rsidR="007B3B6F">
        <w:rPr>
          <w:rFonts w:ascii="Times New Roman" w:hAnsi="Times New Roman" w:cs="Times New Roman"/>
        </w:rPr>
        <w:t>s</w:t>
      </w:r>
      <w:r w:rsidRPr="00706DAF">
        <w:rPr>
          <w:rFonts w:ascii="Times New Roman" w:hAnsi="Times New Roman" w:cs="Times New Roman"/>
        </w:rPr>
        <w:t xml:space="preserve">ed three elements </w:t>
      </w:r>
      <w:r w:rsidR="007B3B6F">
        <w:rPr>
          <w:rFonts w:ascii="Times New Roman" w:hAnsi="Times New Roman" w:cs="Times New Roman"/>
        </w:rPr>
        <w:t xml:space="preserve">as </w:t>
      </w:r>
      <w:r w:rsidRPr="00706DAF">
        <w:rPr>
          <w:rFonts w:ascii="Times New Roman" w:hAnsi="Times New Roman" w:cs="Times New Roman"/>
        </w:rPr>
        <w:t xml:space="preserve">required to establish a necessity defence: </w:t>
      </w:r>
      <w:r w:rsidR="00CA2E57">
        <w:rPr>
          <w:rFonts w:ascii="Times New Roman" w:hAnsi="Times New Roman" w:cs="Times New Roman"/>
        </w:rPr>
        <w:t>(</w:t>
      </w:r>
      <w:proofErr w:type="spellStart"/>
      <w:r w:rsidR="00CA2E57">
        <w:rPr>
          <w:rFonts w:ascii="Times New Roman" w:hAnsi="Times New Roman" w:cs="Times New Roman"/>
        </w:rPr>
        <w:t>i</w:t>
      </w:r>
      <w:proofErr w:type="spellEnd"/>
      <w:r w:rsidR="00CA2E57">
        <w:rPr>
          <w:rFonts w:ascii="Times New Roman" w:hAnsi="Times New Roman" w:cs="Times New Roman"/>
        </w:rPr>
        <w:t xml:space="preserve">) </w:t>
      </w:r>
      <w:r w:rsidRPr="00706DAF">
        <w:rPr>
          <w:rFonts w:ascii="Times New Roman" w:hAnsi="Times New Roman" w:cs="Times New Roman"/>
        </w:rPr>
        <w:t xml:space="preserve">an imminent peril or danger; </w:t>
      </w:r>
      <w:r w:rsidR="00CA2E57">
        <w:rPr>
          <w:rFonts w:ascii="Times New Roman" w:hAnsi="Times New Roman" w:cs="Times New Roman"/>
        </w:rPr>
        <w:t xml:space="preserve">(ii) </w:t>
      </w:r>
      <w:r w:rsidRPr="00706DAF">
        <w:rPr>
          <w:rFonts w:ascii="Times New Roman" w:hAnsi="Times New Roman" w:cs="Times New Roman"/>
        </w:rPr>
        <w:t xml:space="preserve">the absence of reasonable legal alternatives; </w:t>
      </w:r>
      <w:proofErr w:type="gramStart"/>
      <w:r w:rsidRPr="00706DAF">
        <w:rPr>
          <w:rFonts w:ascii="Times New Roman" w:hAnsi="Times New Roman" w:cs="Times New Roman"/>
        </w:rPr>
        <w:t>and</w:t>
      </w:r>
      <w:r w:rsidR="00CA2E57">
        <w:rPr>
          <w:rFonts w:ascii="Times New Roman" w:hAnsi="Times New Roman" w:cs="Times New Roman"/>
        </w:rPr>
        <w:t>,</w:t>
      </w:r>
      <w:proofErr w:type="gramEnd"/>
      <w:r w:rsidR="00CA2E57">
        <w:rPr>
          <w:rFonts w:ascii="Times New Roman" w:hAnsi="Times New Roman" w:cs="Times New Roman"/>
        </w:rPr>
        <w:t xml:space="preserve"> (iii</w:t>
      </w:r>
      <w:proofErr w:type="gramStart"/>
      <w:r w:rsidR="00CA2E57">
        <w:rPr>
          <w:rFonts w:ascii="Times New Roman" w:hAnsi="Times New Roman" w:cs="Times New Roman"/>
        </w:rPr>
        <w:t xml:space="preserve">) </w:t>
      </w:r>
      <w:r w:rsidRPr="00706DAF">
        <w:rPr>
          <w:rFonts w:ascii="Times New Roman" w:hAnsi="Times New Roman" w:cs="Times New Roman"/>
        </w:rPr>
        <w:t xml:space="preserve"> proportionality</w:t>
      </w:r>
      <w:proofErr w:type="gramEnd"/>
      <w:r w:rsidRPr="00706DAF">
        <w:rPr>
          <w:rFonts w:ascii="Times New Roman" w:hAnsi="Times New Roman" w:cs="Times New Roman"/>
        </w:rPr>
        <w:t xml:space="preserve"> between the harm inflicted and the harm avoided. The Court ultimately rejected the necessity defence, finding that the threat of climate change was not sufficiently imminent and that other legal alternatives were available to the activists.</w:t>
      </w:r>
      <w:r w:rsidRPr="00706DAF">
        <w:rPr>
          <w:rStyle w:val="FootnoteReference"/>
          <w:rFonts w:ascii="Times New Roman" w:hAnsi="Times New Roman" w:cs="Times New Roman"/>
        </w:rPr>
        <w:footnoteReference w:id="21"/>
      </w:r>
    </w:p>
    <w:p w14:paraId="4BF80D42" w14:textId="32CC75B8" w:rsidR="008C25EF" w:rsidRPr="00A23302" w:rsidRDefault="00A23302" w:rsidP="00A23302">
      <w:pPr>
        <w:pStyle w:val="Heading2"/>
        <w:rPr>
          <w:rFonts w:eastAsia="Times New Roman"/>
          <w:i/>
          <w:iCs/>
          <w:color w:val="212121"/>
          <w:lang w:eastAsia="en-GB"/>
        </w:rPr>
      </w:pPr>
      <w:proofErr w:type="spellStart"/>
      <w:proofErr w:type="gramStart"/>
      <w:r>
        <w:rPr>
          <w:rFonts w:eastAsia="Times New Roman"/>
          <w:lang w:eastAsia="en-GB"/>
        </w:rPr>
        <w:t>A.</w:t>
      </w:r>
      <w:r w:rsidR="00DB532E" w:rsidRPr="00A23302">
        <w:rPr>
          <w:rFonts w:eastAsia="Times New Roman"/>
          <w:lang w:eastAsia="en-GB"/>
        </w:rPr>
        <w:t>Necessity</w:t>
      </w:r>
      <w:proofErr w:type="spellEnd"/>
      <w:proofErr w:type="gramEnd"/>
      <w:r w:rsidR="00DB532E" w:rsidRPr="00A23302">
        <w:rPr>
          <w:rFonts w:eastAsia="Times New Roman"/>
          <w:lang w:eastAsia="en-GB"/>
        </w:rPr>
        <w:t>, excuse and the offences of trespass and criminal damage</w:t>
      </w:r>
    </w:p>
    <w:p w14:paraId="4E593044" w14:textId="77777777" w:rsidR="008C25EF" w:rsidRDefault="008C25EF" w:rsidP="00824073">
      <w:pPr>
        <w:spacing w:line="360" w:lineRule="auto"/>
        <w:jc w:val="both"/>
        <w:rPr>
          <w:rFonts w:ascii="Times New Roman" w:eastAsia="Times New Roman" w:hAnsi="Times New Roman" w:cs="Times New Roman"/>
          <w:i/>
          <w:iCs/>
          <w:color w:val="212121"/>
          <w:lang w:eastAsia="en-GB"/>
        </w:rPr>
      </w:pPr>
    </w:p>
    <w:p w14:paraId="108F3F31" w14:textId="20EA0E1E" w:rsidR="008C25EF" w:rsidRPr="00A07A7C" w:rsidRDefault="00DB532E" w:rsidP="00824073">
      <w:pPr>
        <w:pStyle w:val="ListParagraph"/>
        <w:numPr>
          <w:ilvl w:val="0"/>
          <w:numId w:val="15"/>
        </w:numPr>
        <w:spacing w:line="360" w:lineRule="auto"/>
        <w:jc w:val="both"/>
        <w:rPr>
          <w:rFonts w:ascii="Times New Roman" w:eastAsia="Times New Roman" w:hAnsi="Times New Roman" w:cs="Times New Roman"/>
          <w:i/>
          <w:iCs/>
          <w:color w:val="212121"/>
          <w:lang w:eastAsia="en-GB"/>
        </w:rPr>
      </w:pPr>
      <w:r w:rsidRPr="00A07A7C">
        <w:rPr>
          <w:rFonts w:ascii="Times New Roman" w:eastAsia="Times New Roman" w:hAnsi="Times New Roman" w:cs="Times New Roman"/>
          <w:b/>
          <w:bCs/>
          <w:lang w:eastAsia="en-GB"/>
        </w:rPr>
        <w:t xml:space="preserve">The </w:t>
      </w:r>
      <w:proofErr w:type="spellStart"/>
      <w:r w:rsidR="00A07A7C">
        <w:rPr>
          <w:rFonts w:ascii="Times New Roman" w:hAnsi="Times New Roman" w:cs="Times New Roman"/>
          <w:b/>
          <w:bCs/>
          <w:i/>
          <w:iCs/>
        </w:rPr>
        <w:t>m</w:t>
      </w:r>
      <w:r w:rsidR="000813A2" w:rsidRPr="00A07A7C">
        <w:rPr>
          <w:rFonts w:ascii="Times New Roman" w:hAnsi="Times New Roman" w:cs="Times New Roman"/>
          <w:b/>
          <w:bCs/>
          <w:i/>
          <w:iCs/>
        </w:rPr>
        <w:t>ens</w:t>
      </w:r>
      <w:proofErr w:type="spellEnd"/>
      <w:r w:rsidR="000813A2" w:rsidRPr="00A07A7C">
        <w:rPr>
          <w:rFonts w:ascii="Times New Roman" w:hAnsi="Times New Roman" w:cs="Times New Roman"/>
          <w:b/>
          <w:bCs/>
          <w:i/>
          <w:iCs/>
        </w:rPr>
        <w:t xml:space="preserve"> rea </w:t>
      </w:r>
      <w:r w:rsidR="000813A2" w:rsidRPr="00A07A7C">
        <w:rPr>
          <w:rFonts w:ascii="Times New Roman" w:hAnsi="Times New Roman" w:cs="Times New Roman"/>
          <w:b/>
          <w:bCs/>
        </w:rPr>
        <w:t xml:space="preserve">of the </w:t>
      </w:r>
      <w:r w:rsidR="008E3140">
        <w:rPr>
          <w:rFonts w:ascii="Times New Roman" w:hAnsi="Times New Roman" w:cs="Times New Roman"/>
          <w:b/>
          <w:bCs/>
        </w:rPr>
        <w:t>o</w:t>
      </w:r>
      <w:r w:rsidR="000813A2" w:rsidRPr="00A07A7C">
        <w:rPr>
          <w:rFonts w:ascii="Times New Roman" w:hAnsi="Times New Roman" w:cs="Times New Roman"/>
          <w:b/>
          <w:bCs/>
        </w:rPr>
        <w:t xml:space="preserve">ffence of </w:t>
      </w:r>
      <w:r w:rsidR="008E3140">
        <w:rPr>
          <w:rFonts w:ascii="Times New Roman" w:hAnsi="Times New Roman" w:cs="Times New Roman"/>
          <w:b/>
          <w:bCs/>
        </w:rPr>
        <w:t>t</w:t>
      </w:r>
      <w:r w:rsidR="000813A2" w:rsidRPr="00A07A7C">
        <w:rPr>
          <w:rFonts w:ascii="Times New Roman" w:hAnsi="Times New Roman" w:cs="Times New Roman"/>
          <w:b/>
          <w:bCs/>
        </w:rPr>
        <w:t>respass and acts of protest or civil disobedience</w:t>
      </w:r>
    </w:p>
    <w:p w14:paraId="72585CD6" w14:textId="77777777" w:rsidR="00A07A7C" w:rsidRPr="00A07A7C" w:rsidRDefault="00A07A7C" w:rsidP="00824073">
      <w:pPr>
        <w:pStyle w:val="ListParagraph"/>
        <w:spacing w:line="360" w:lineRule="auto"/>
        <w:jc w:val="both"/>
        <w:rPr>
          <w:rFonts w:ascii="Times New Roman" w:eastAsia="Times New Roman" w:hAnsi="Times New Roman" w:cs="Times New Roman"/>
          <w:i/>
          <w:iCs/>
          <w:color w:val="212121"/>
          <w:lang w:eastAsia="en-GB"/>
        </w:rPr>
      </w:pPr>
    </w:p>
    <w:p w14:paraId="55135216" w14:textId="6AE9A42A" w:rsidR="008C25EF" w:rsidRPr="002D7E00" w:rsidRDefault="000813A2" w:rsidP="002D7E00">
      <w:pPr>
        <w:pStyle w:val="ListParagraph"/>
        <w:numPr>
          <w:ilvl w:val="0"/>
          <w:numId w:val="1"/>
        </w:numPr>
        <w:spacing w:line="360" w:lineRule="auto"/>
        <w:jc w:val="both"/>
        <w:rPr>
          <w:rFonts w:ascii="Times New Roman" w:hAnsi="Times New Roman" w:cs="Times New Roman"/>
        </w:rPr>
      </w:pPr>
      <w:r w:rsidRPr="008C25EF">
        <w:rPr>
          <w:rFonts w:ascii="Times New Roman" w:hAnsi="Times New Roman" w:cs="Times New Roman"/>
        </w:rPr>
        <w:t xml:space="preserve">The core of the </w:t>
      </w:r>
      <w:proofErr w:type="spellStart"/>
      <w:r w:rsidRPr="008C25EF">
        <w:rPr>
          <w:rFonts w:ascii="Times New Roman" w:hAnsi="Times New Roman" w:cs="Times New Roman"/>
          <w:i/>
          <w:iCs/>
        </w:rPr>
        <w:t>mens</w:t>
      </w:r>
      <w:proofErr w:type="spellEnd"/>
      <w:r w:rsidRPr="008C25EF">
        <w:rPr>
          <w:rFonts w:ascii="Times New Roman" w:hAnsi="Times New Roman" w:cs="Times New Roman"/>
          <w:i/>
          <w:iCs/>
        </w:rPr>
        <w:t xml:space="preserve"> rea</w:t>
      </w:r>
      <w:r w:rsidRPr="008C25EF">
        <w:rPr>
          <w:rFonts w:ascii="Times New Roman" w:hAnsi="Times New Roman" w:cs="Times New Roman"/>
        </w:rPr>
        <w:t xml:space="preserve"> requirement</w:t>
      </w:r>
      <w:r w:rsidR="002D7E00">
        <w:rPr>
          <w:rFonts w:ascii="Times New Roman" w:hAnsi="Times New Roman" w:cs="Times New Roman"/>
        </w:rPr>
        <w:t xml:space="preserve"> for trespass under </w:t>
      </w:r>
      <w:r w:rsidR="00CA2E57">
        <w:rPr>
          <w:rFonts w:ascii="Times New Roman" w:hAnsi="Times New Roman" w:cs="Times New Roman"/>
        </w:rPr>
        <w:t>s</w:t>
      </w:r>
      <w:r w:rsidR="007B3B6F">
        <w:rPr>
          <w:rFonts w:ascii="Times New Roman" w:hAnsi="Times New Roman" w:cs="Times New Roman"/>
        </w:rPr>
        <w:t xml:space="preserve">ection </w:t>
      </w:r>
      <w:r w:rsidR="002D7E00" w:rsidRPr="008C25EF">
        <w:rPr>
          <w:rFonts w:ascii="Times New Roman" w:hAnsi="Times New Roman" w:cs="Times New Roman"/>
        </w:rPr>
        <w:t>11 of the Criminal Justice (Public Order) Act 1994</w:t>
      </w:r>
      <w:r w:rsidR="006D6571">
        <w:rPr>
          <w:rFonts w:ascii="Times New Roman" w:hAnsi="Times New Roman" w:cs="Times New Roman"/>
        </w:rPr>
        <w:t xml:space="preserve"> </w:t>
      </w:r>
      <w:r w:rsidRPr="002D7E00">
        <w:rPr>
          <w:rFonts w:ascii="Times New Roman" w:hAnsi="Times New Roman" w:cs="Times New Roman"/>
        </w:rPr>
        <w:t>is in the entry having been “</w:t>
      </w:r>
      <w:r w:rsidRPr="002D7E00">
        <w:rPr>
          <w:rFonts w:ascii="Times New Roman" w:hAnsi="Times New Roman" w:cs="Times New Roman"/>
          <w:i/>
          <w:iCs/>
        </w:rPr>
        <w:t>with intent to commit an offence</w:t>
      </w:r>
      <w:r w:rsidRPr="002D7E00">
        <w:rPr>
          <w:rFonts w:ascii="Times New Roman" w:hAnsi="Times New Roman" w:cs="Times New Roman"/>
        </w:rPr>
        <w:t>” or “</w:t>
      </w:r>
      <w:r w:rsidRPr="002D7E00">
        <w:rPr>
          <w:rFonts w:ascii="Times New Roman" w:hAnsi="Times New Roman" w:cs="Times New Roman"/>
          <w:i/>
          <w:iCs/>
        </w:rPr>
        <w:t>intent to unlawfully interfere with any property situate therein”</w:t>
      </w:r>
      <w:r w:rsidRPr="002D7E00">
        <w:rPr>
          <w:rFonts w:ascii="Times New Roman" w:hAnsi="Times New Roman" w:cs="Times New Roman"/>
        </w:rPr>
        <w:t xml:space="preserve">. The intention required by the section goes to the unlawfulness of the action as either an </w:t>
      </w:r>
      <w:r w:rsidRPr="002D7E00">
        <w:rPr>
          <w:rFonts w:ascii="Times New Roman" w:hAnsi="Times New Roman" w:cs="Times New Roman"/>
          <w:i/>
          <w:iCs/>
        </w:rPr>
        <w:t xml:space="preserve">offence </w:t>
      </w:r>
      <w:r w:rsidRPr="002D7E00">
        <w:rPr>
          <w:rFonts w:ascii="Times New Roman" w:hAnsi="Times New Roman" w:cs="Times New Roman"/>
        </w:rPr>
        <w:t xml:space="preserve">or an </w:t>
      </w:r>
      <w:r w:rsidRPr="002D7E00">
        <w:rPr>
          <w:rFonts w:ascii="Times New Roman" w:hAnsi="Times New Roman" w:cs="Times New Roman"/>
          <w:i/>
          <w:iCs/>
        </w:rPr>
        <w:t>unlawful inter</w:t>
      </w:r>
      <w:r w:rsidR="008E3140" w:rsidRPr="002D7E00">
        <w:rPr>
          <w:rFonts w:ascii="Times New Roman" w:hAnsi="Times New Roman" w:cs="Times New Roman"/>
          <w:i/>
          <w:iCs/>
        </w:rPr>
        <w:t>f</w:t>
      </w:r>
      <w:r w:rsidRPr="002D7E00">
        <w:rPr>
          <w:rFonts w:ascii="Times New Roman" w:hAnsi="Times New Roman" w:cs="Times New Roman"/>
          <w:i/>
          <w:iCs/>
        </w:rPr>
        <w:t>erence</w:t>
      </w:r>
      <w:r w:rsidRPr="002D7E00">
        <w:rPr>
          <w:rFonts w:ascii="Times New Roman" w:hAnsi="Times New Roman" w:cs="Times New Roman"/>
        </w:rPr>
        <w:t>. In circumstances where it is the Appellant’s case that he believed his actions were not unlawful, nor that they amounted to a criminal offence because a defence was open to him – of lawful excuse or necessity</w:t>
      </w:r>
      <w:r w:rsidR="00CA2E57">
        <w:rPr>
          <w:rFonts w:ascii="Times New Roman" w:hAnsi="Times New Roman" w:cs="Times New Roman"/>
        </w:rPr>
        <w:t>, through a legitimate</w:t>
      </w:r>
      <w:r w:rsidRPr="002D7E00">
        <w:rPr>
          <w:rFonts w:ascii="Times New Roman" w:hAnsi="Times New Roman" w:cs="Times New Roman"/>
        </w:rPr>
        <w:t xml:space="preserve"> act of protest or civil disobedience</w:t>
      </w:r>
      <w:r w:rsidR="00CA2E57">
        <w:rPr>
          <w:rFonts w:ascii="Times New Roman" w:hAnsi="Times New Roman" w:cs="Times New Roman"/>
        </w:rPr>
        <w:t xml:space="preserve"> – the </w:t>
      </w:r>
      <w:proofErr w:type="spellStart"/>
      <w:r w:rsidRPr="002D7E00">
        <w:rPr>
          <w:rFonts w:ascii="Times New Roman" w:hAnsi="Times New Roman" w:cs="Times New Roman"/>
          <w:i/>
          <w:iCs/>
        </w:rPr>
        <w:t>mens</w:t>
      </w:r>
      <w:proofErr w:type="spellEnd"/>
      <w:r w:rsidRPr="002D7E00">
        <w:rPr>
          <w:rFonts w:ascii="Times New Roman" w:hAnsi="Times New Roman" w:cs="Times New Roman"/>
        </w:rPr>
        <w:t xml:space="preserve"> </w:t>
      </w:r>
      <w:r w:rsidRPr="002D7E00">
        <w:rPr>
          <w:rFonts w:ascii="Times New Roman" w:hAnsi="Times New Roman" w:cs="Times New Roman"/>
          <w:i/>
          <w:iCs/>
        </w:rPr>
        <w:t xml:space="preserve">rea </w:t>
      </w:r>
      <w:r w:rsidR="00CA2E57">
        <w:rPr>
          <w:rFonts w:ascii="Times New Roman" w:hAnsi="Times New Roman" w:cs="Times New Roman"/>
        </w:rPr>
        <w:t xml:space="preserve">which </w:t>
      </w:r>
      <w:r w:rsidRPr="002D7E00">
        <w:rPr>
          <w:rFonts w:ascii="Times New Roman" w:hAnsi="Times New Roman" w:cs="Times New Roman"/>
        </w:rPr>
        <w:t xml:space="preserve">the offence </w:t>
      </w:r>
      <w:r w:rsidR="00CA2E57">
        <w:rPr>
          <w:rFonts w:ascii="Times New Roman" w:hAnsi="Times New Roman" w:cs="Times New Roman"/>
        </w:rPr>
        <w:t>requires may not be</w:t>
      </w:r>
      <w:r w:rsidR="008E3140" w:rsidRPr="002D7E00">
        <w:rPr>
          <w:rFonts w:ascii="Times New Roman" w:hAnsi="Times New Roman" w:cs="Times New Roman"/>
        </w:rPr>
        <w:t xml:space="preserve"> met</w:t>
      </w:r>
      <w:r w:rsidRPr="002D7E00">
        <w:rPr>
          <w:rFonts w:ascii="Times New Roman" w:hAnsi="Times New Roman" w:cs="Times New Roman"/>
        </w:rPr>
        <w:t xml:space="preserve">. </w:t>
      </w:r>
      <w:r w:rsidR="00AE32AA" w:rsidRPr="007B3B6F">
        <w:rPr>
          <w:rFonts w:ascii="Times New Roman" w:hAnsi="Times New Roman" w:cs="Times New Roman"/>
        </w:rPr>
        <w:t xml:space="preserve">This arises for </w:t>
      </w:r>
      <w:proofErr w:type="gramStart"/>
      <w:r w:rsidR="00AE32AA" w:rsidRPr="007B3B6F">
        <w:rPr>
          <w:rFonts w:ascii="Times New Roman" w:hAnsi="Times New Roman" w:cs="Times New Roman"/>
        </w:rPr>
        <w:t>particular consideration</w:t>
      </w:r>
      <w:proofErr w:type="gramEnd"/>
      <w:r w:rsidR="00AE32AA" w:rsidRPr="007B3B6F">
        <w:rPr>
          <w:rFonts w:ascii="Times New Roman" w:hAnsi="Times New Roman" w:cs="Times New Roman"/>
        </w:rPr>
        <w:t xml:space="preserve"> due to the </w:t>
      </w:r>
      <w:r w:rsidR="00A174EB" w:rsidRPr="007B3B6F">
        <w:rPr>
          <w:rFonts w:ascii="Times New Roman" w:hAnsi="Times New Roman" w:cs="Times New Roman"/>
        </w:rPr>
        <w:t>‘lawfulness” of the action arising within the definition of the offence.</w:t>
      </w:r>
      <w:r w:rsidR="00A174EB">
        <w:rPr>
          <w:rFonts w:ascii="Times New Roman" w:hAnsi="Times New Roman" w:cs="Times New Roman"/>
        </w:rPr>
        <w:t xml:space="preserve"> </w:t>
      </w:r>
    </w:p>
    <w:p w14:paraId="01C67E36" w14:textId="77777777" w:rsidR="008E3140" w:rsidRPr="008E3140" w:rsidRDefault="008E3140" w:rsidP="00824073">
      <w:pPr>
        <w:pStyle w:val="ListParagraph"/>
        <w:spacing w:line="360" w:lineRule="auto"/>
        <w:jc w:val="both"/>
        <w:rPr>
          <w:rFonts w:ascii="Times New Roman" w:eastAsia="Times New Roman" w:hAnsi="Times New Roman" w:cs="Times New Roman"/>
          <w:i/>
          <w:iCs/>
          <w:color w:val="212121"/>
          <w:lang w:eastAsia="en-GB"/>
        </w:rPr>
      </w:pPr>
    </w:p>
    <w:p w14:paraId="6133A0AE" w14:textId="0DA51F08" w:rsidR="008C25EF" w:rsidRPr="008C25EF" w:rsidRDefault="000813A2"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The question may be posed this way: if a person enters a building or its curtilage with the intention of engaging in an act of protest or civil disobedience in respect of which he or she believes there is no crime committed</w:t>
      </w:r>
      <w:r w:rsidR="008E3140">
        <w:rPr>
          <w:rFonts w:ascii="Times New Roman" w:hAnsi="Times New Roman" w:cs="Times New Roman"/>
        </w:rPr>
        <w:t>,</w:t>
      </w:r>
      <w:r w:rsidRPr="008C25EF">
        <w:rPr>
          <w:rFonts w:ascii="Times New Roman" w:hAnsi="Times New Roman" w:cs="Times New Roman"/>
        </w:rPr>
        <w:t xml:space="preserve"> or that there is a defence to any criminal charge</w:t>
      </w:r>
      <w:r w:rsidR="00A22AA0" w:rsidRPr="00A22AA0">
        <w:rPr>
          <w:rFonts w:ascii="Times New Roman" w:eastAsia="Times New Roman" w:hAnsi="Times New Roman" w:cs="Times New Roman"/>
          <w:color w:val="212121"/>
          <w:lang w:eastAsia="en-GB"/>
        </w:rPr>
        <w:t xml:space="preserve"> </w:t>
      </w:r>
      <w:r w:rsidR="00A22AA0" w:rsidRPr="007B3B6F">
        <w:rPr>
          <w:rFonts w:ascii="Times New Roman" w:eastAsia="Times New Roman" w:hAnsi="Times New Roman" w:cs="Times New Roman"/>
          <w:color w:val="212121"/>
          <w:lang w:eastAsia="en-GB"/>
        </w:rPr>
        <w:t>based on an honest belief on the part of the Defendant that his or her actions were necessary to avoid or minimise a real risk of serious harm</w:t>
      </w:r>
      <w:r w:rsidRPr="007B3B6F">
        <w:rPr>
          <w:rFonts w:ascii="Times New Roman" w:hAnsi="Times New Roman" w:cs="Times New Roman"/>
        </w:rPr>
        <w:t>,</w:t>
      </w:r>
      <w:r w:rsidRPr="008C25EF">
        <w:rPr>
          <w:rFonts w:ascii="Times New Roman" w:hAnsi="Times New Roman" w:cs="Times New Roman"/>
        </w:rPr>
        <w:t xml:space="preserve"> can he or she be deemed to have the requisite </w:t>
      </w:r>
      <w:proofErr w:type="spellStart"/>
      <w:r w:rsidRPr="008C25EF">
        <w:rPr>
          <w:rFonts w:ascii="Times New Roman" w:hAnsi="Times New Roman" w:cs="Times New Roman"/>
          <w:i/>
          <w:iCs/>
        </w:rPr>
        <w:t>mens</w:t>
      </w:r>
      <w:proofErr w:type="spellEnd"/>
      <w:r w:rsidRPr="008C25EF">
        <w:rPr>
          <w:rFonts w:ascii="Times New Roman" w:hAnsi="Times New Roman" w:cs="Times New Roman"/>
          <w:i/>
          <w:iCs/>
        </w:rPr>
        <w:t xml:space="preserve"> rea</w:t>
      </w:r>
      <w:r w:rsidRPr="008C25EF">
        <w:rPr>
          <w:rFonts w:ascii="Times New Roman" w:hAnsi="Times New Roman" w:cs="Times New Roman"/>
        </w:rPr>
        <w:t xml:space="preserve"> for the offence under section 11?</w:t>
      </w:r>
    </w:p>
    <w:p w14:paraId="3F91ED30" w14:textId="77777777" w:rsidR="008E3140" w:rsidRPr="008E3140" w:rsidRDefault="008E3140" w:rsidP="00824073">
      <w:pPr>
        <w:pStyle w:val="ListParagraph"/>
        <w:spacing w:line="360" w:lineRule="auto"/>
        <w:jc w:val="both"/>
        <w:rPr>
          <w:rFonts w:ascii="Times New Roman" w:eastAsia="Times New Roman" w:hAnsi="Times New Roman" w:cs="Times New Roman"/>
          <w:i/>
          <w:iCs/>
          <w:color w:val="212121"/>
          <w:lang w:eastAsia="en-GB"/>
        </w:rPr>
      </w:pPr>
    </w:p>
    <w:p w14:paraId="5618BE0E" w14:textId="06BAB4DE" w:rsidR="008C25EF" w:rsidRPr="008C25EF" w:rsidRDefault="000813A2"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lastRenderedPageBreak/>
        <w:t>In the Commission</w:t>
      </w:r>
      <w:r w:rsidR="001E14F3" w:rsidRPr="008C25EF">
        <w:rPr>
          <w:rFonts w:ascii="Times New Roman" w:hAnsi="Times New Roman" w:cs="Times New Roman"/>
        </w:rPr>
        <w:t xml:space="preserve">’s </w:t>
      </w:r>
      <w:r w:rsidRPr="008C25EF">
        <w:rPr>
          <w:rFonts w:ascii="Times New Roman" w:hAnsi="Times New Roman" w:cs="Times New Roman"/>
        </w:rPr>
        <w:t xml:space="preserve">submission, addressing this question requires consideration of the fundamental rights in issue, </w:t>
      </w:r>
      <w:r w:rsidR="00CA2E57">
        <w:rPr>
          <w:rFonts w:ascii="Times New Roman" w:hAnsi="Times New Roman" w:cs="Times New Roman"/>
        </w:rPr>
        <w:t xml:space="preserve">under the </w:t>
      </w:r>
      <w:r w:rsidRPr="008C25EF">
        <w:rPr>
          <w:rFonts w:ascii="Times New Roman" w:hAnsi="Times New Roman" w:cs="Times New Roman"/>
        </w:rPr>
        <w:t xml:space="preserve">Constitution and the </w:t>
      </w:r>
      <w:r w:rsidR="008E3140">
        <w:rPr>
          <w:rFonts w:ascii="Times New Roman" w:hAnsi="Times New Roman" w:cs="Times New Roman"/>
        </w:rPr>
        <w:t>ECHR</w:t>
      </w:r>
      <w:r w:rsidRPr="008C25EF">
        <w:rPr>
          <w:rFonts w:ascii="Times New Roman" w:hAnsi="Times New Roman" w:cs="Times New Roman"/>
        </w:rPr>
        <w:t>, as outlined above</w:t>
      </w:r>
      <w:r w:rsidR="00CA1898">
        <w:rPr>
          <w:rFonts w:ascii="Times New Roman" w:hAnsi="Times New Roman" w:cs="Times New Roman"/>
        </w:rPr>
        <w:t>.</w:t>
      </w:r>
    </w:p>
    <w:p w14:paraId="14E6F0C8" w14:textId="77777777" w:rsidR="008E3140" w:rsidRDefault="008E3140" w:rsidP="00824073">
      <w:pPr>
        <w:spacing w:line="360" w:lineRule="auto"/>
        <w:jc w:val="both"/>
        <w:rPr>
          <w:rFonts w:ascii="Times New Roman" w:eastAsia="Times New Roman" w:hAnsi="Times New Roman" w:cs="Times New Roman"/>
          <w:b/>
          <w:bCs/>
          <w:lang w:eastAsia="en-GB"/>
        </w:rPr>
      </w:pPr>
    </w:p>
    <w:p w14:paraId="78956F19" w14:textId="2FC6857D" w:rsidR="008C25EF" w:rsidRPr="008E3140" w:rsidRDefault="00DB532E" w:rsidP="00824073">
      <w:pPr>
        <w:pStyle w:val="ListParagraph"/>
        <w:numPr>
          <w:ilvl w:val="0"/>
          <w:numId w:val="15"/>
        </w:numPr>
        <w:spacing w:line="360" w:lineRule="auto"/>
        <w:jc w:val="both"/>
        <w:rPr>
          <w:rFonts w:ascii="Times New Roman" w:eastAsia="Times New Roman" w:hAnsi="Times New Roman" w:cs="Times New Roman"/>
          <w:i/>
          <w:iCs/>
          <w:color w:val="212121"/>
          <w:lang w:eastAsia="en-GB"/>
        </w:rPr>
      </w:pPr>
      <w:r w:rsidRPr="008E3140">
        <w:rPr>
          <w:rFonts w:ascii="Times New Roman" w:eastAsia="Times New Roman" w:hAnsi="Times New Roman" w:cs="Times New Roman"/>
          <w:b/>
          <w:bCs/>
          <w:lang w:eastAsia="en-GB"/>
        </w:rPr>
        <w:t xml:space="preserve">The offence of </w:t>
      </w:r>
      <w:r w:rsidR="00E74160" w:rsidRPr="008E3140">
        <w:rPr>
          <w:rFonts w:ascii="Times New Roman" w:eastAsia="Times New Roman" w:hAnsi="Times New Roman" w:cs="Times New Roman"/>
          <w:b/>
          <w:bCs/>
          <w:lang w:eastAsia="en-GB"/>
        </w:rPr>
        <w:t xml:space="preserve">criminal damage </w:t>
      </w:r>
      <w:r w:rsidRPr="008E3140">
        <w:rPr>
          <w:rFonts w:ascii="Times New Roman" w:eastAsia="Times New Roman" w:hAnsi="Times New Roman" w:cs="Times New Roman"/>
          <w:b/>
          <w:bCs/>
          <w:lang w:eastAsia="en-GB"/>
        </w:rPr>
        <w:t xml:space="preserve">and </w:t>
      </w:r>
      <w:r w:rsidR="00E74160" w:rsidRPr="008E3140">
        <w:rPr>
          <w:rFonts w:ascii="Times New Roman" w:eastAsia="Times New Roman" w:hAnsi="Times New Roman" w:cs="Times New Roman"/>
          <w:b/>
          <w:bCs/>
          <w:lang w:eastAsia="en-GB"/>
        </w:rPr>
        <w:t>l</w:t>
      </w:r>
      <w:r w:rsidRPr="008E3140">
        <w:rPr>
          <w:rFonts w:ascii="Times New Roman" w:eastAsia="Times New Roman" w:hAnsi="Times New Roman" w:cs="Times New Roman"/>
          <w:b/>
          <w:bCs/>
          <w:lang w:eastAsia="en-GB"/>
        </w:rPr>
        <w:t>awful excuse</w:t>
      </w:r>
    </w:p>
    <w:p w14:paraId="1EEC96C2" w14:textId="77777777" w:rsidR="008E3140" w:rsidRPr="008E3140" w:rsidRDefault="008E3140" w:rsidP="00824073">
      <w:pPr>
        <w:spacing w:line="360" w:lineRule="auto"/>
        <w:jc w:val="both"/>
        <w:rPr>
          <w:rFonts w:ascii="Times New Roman" w:eastAsia="Times New Roman" w:hAnsi="Times New Roman" w:cs="Times New Roman"/>
          <w:i/>
          <w:iCs/>
          <w:color w:val="212121"/>
          <w:lang w:eastAsia="en-GB"/>
        </w:rPr>
      </w:pPr>
    </w:p>
    <w:p w14:paraId="0D6FBFFA" w14:textId="77777777" w:rsidR="008E3140" w:rsidRPr="008E3140" w:rsidRDefault="005378DC"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C25EF">
        <w:rPr>
          <w:rFonts w:ascii="Times New Roman" w:hAnsi="Times New Roman" w:cs="Times New Roman"/>
        </w:rPr>
        <w:t>The offence of criminal damage is provided for in section 2(1) of the Criminal Damage Act 1991 and applies to “</w:t>
      </w:r>
      <w:r w:rsidR="008E3140">
        <w:rPr>
          <w:rFonts w:ascii="Times New Roman" w:hAnsi="Times New Roman" w:cs="Times New Roman"/>
          <w:i/>
          <w:iCs/>
        </w:rPr>
        <w:t>[a]</w:t>
      </w:r>
      <w:r w:rsidRPr="008C25EF">
        <w:rPr>
          <w:rFonts w:ascii="Times New Roman" w:hAnsi="Times New Roman" w:cs="Times New Roman"/>
          <w:i/>
          <w:iCs/>
        </w:rPr>
        <w:t xml:space="preserve"> person who without lawful excuse damages any property belonging to another intending to damage any such property or being reckless as to whether any such property would be damaged”</w:t>
      </w:r>
      <w:r w:rsidRPr="008C25EF">
        <w:rPr>
          <w:rFonts w:ascii="Times New Roman" w:hAnsi="Times New Roman" w:cs="Times New Roman"/>
        </w:rPr>
        <w:t xml:space="preserve">. </w:t>
      </w:r>
    </w:p>
    <w:p w14:paraId="7BD1D3D7" w14:textId="77777777" w:rsidR="008E3140" w:rsidRPr="008E3140" w:rsidRDefault="008E3140" w:rsidP="00824073">
      <w:pPr>
        <w:pStyle w:val="ListParagraph"/>
        <w:spacing w:line="360" w:lineRule="auto"/>
        <w:jc w:val="both"/>
        <w:rPr>
          <w:rFonts w:ascii="Times New Roman" w:eastAsia="Times New Roman" w:hAnsi="Times New Roman" w:cs="Times New Roman"/>
          <w:i/>
          <w:iCs/>
          <w:color w:val="212121"/>
          <w:lang w:eastAsia="en-GB"/>
        </w:rPr>
      </w:pPr>
    </w:p>
    <w:p w14:paraId="4A955422" w14:textId="607C939D" w:rsidR="008E3140" w:rsidRPr="003D41A9" w:rsidRDefault="005378DC" w:rsidP="003D41A9">
      <w:pPr>
        <w:pStyle w:val="ListParagraph"/>
        <w:numPr>
          <w:ilvl w:val="0"/>
          <w:numId w:val="1"/>
        </w:numPr>
        <w:spacing w:line="360" w:lineRule="auto"/>
        <w:jc w:val="both"/>
        <w:rPr>
          <w:rFonts w:ascii="Times New Roman" w:hAnsi="Times New Roman" w:cs="Times New Roman"/>
        </w:rPr>
      </w:pPr>
      <w:r w:rsidRPr="008C25EF">
        <w:rPr>
          <w:rFonts w:ascii="Times New Roman" w:hAnsi="Times New Roman" w:cs="Times New Roman"/>
        </w:rPr>
        <w:t>The definition of “</w:t>
      </w:r>
      <w:r w:rsidRPr="008C25EF">
        <w:rPr>
          <w:rFonts w:ascii="Times New Roman" w:hAnsi="Times New Roman" w:cs="Times New Roman"/>
          <w:i/>
          <w:iCs/>
        </w:rPr>
        <w:t>lawful excuse”</w:t>
      </w:r>
      <w:r w:rsidRPr="008C25EF">
        <w:rPr>
          <w:rFonts w:ascii="Times New Roman" w:hAnsi="Times New Roman" w:cs="Times New Roman"/>
        </w:rPr>
        <w:t xml:space="preserve"> is then addressed in section 6 of the 1991 Act</w:t>
      </w:r>
      <w:r w:rsidR="007819E1">
        <w:rPr>
          <w:rFonts w:ascii="Times New Roman" w:hAnsi="Times New Roman" w:cs="Times New Roman"/>
        </w:rPr>
        <w:t>.</w:t>
      </w:r>
      <w:r w:rsidR="003D41A9">
        <w:rPr>
          <w:rFonts w:ascii="Times New Roman" w:hAnsi="Times New Roman" w:cs="Times New Roman"/>
        </w:rPr>
        <w:t xml:space="preserve"> </w:t>
      </w:r>
      <w:r w:rsidR="008E3140" w:rsidRPr="003D41A9">
        <w:rPr>
          <w:rFonts w:ascii="Times New Roman" w:hAnsi="Times New Roman" w:cs="Times New Roman"/>
        </w:rPr>
        <w:t>Several</w:t>
      </w:r>
      <w:r w:rsidRPr="003D41A9">
        <w:rPr>
          <w:rFonts w:ascii="Times New Roman" w:hAnsi="Times New Roman" w:cs="Times New Roman"/>
        </w:rPr>
        <w:t xml:space="preserve"> observations may be made regarding this definition and its applications in the Appellant’s case:</w:t>
      </w:r>
    </w:p>
    <w:p w14:paraId="77CA53D6" w14:textId="3CF7BF19" w:rsidR="008E3140" w:rsidRPr="007B3B6F" w:rsidRDefault="005378DC" w:rsidP="007B3B6F">
      <w:pPr>
        <w:pStyle w:val="ListParagraph"/>
        <w:numPr>
          <w:ilvl w:val="0"/>
          <w:numId w:val="16"/>
        </w:numPr>
        <w:spacing w:line="360" w:lineRule="auto"/>
        <w:jc w:val="both"/>
        <w:rPr>
          <w:rFonts w:ascii="Times New Roman" w:eastAsia="Times New Roman" w:hAnsi="Times New Roman" w:cs="Times New Roman"/>
          <w:i/>
          <w:iCs/>
          <w:color w:val="212121"/>
          <w:lang w:eastAsia="en-GB"/>
        </w:rPr>
      </w:pPr>
      <w:r w:rsidRPr="007B3B6F">
        <w:rPr>
          <w:rFonts w:ascii="Times New Roman" w:hAnsi="Times New Roman" w:cs="Times New Roman"/>
        </w:rPr>
        <w:t xml:space="preserve">it is clear the absence of lawful excuse is an essential aspect of the </w:t>
      </w:r>
      <w:proofErr w:type="gramStart"/>
      <w:r w:rsidRPr="007B3B6F">
        <w:rPr>
          <w:rFonts w:ascii="Times New Roman" w:hAnsi="Times New Roman" w:cs="Times New Roman"/>
        </w:rPr>
        <w:t>offence;</w:t>
      </w:r>
      <w:proofErr w:type="gramEnd"/>
    </w:p>
    <w:p w14:paraId="783C4188" w14:textId="77777777" w:rsidR="008E3140" w:rsidRPr="008E3140" w:rsidRDefault="005378DC" w:rsidP="00824073">
      <w:pPr>
        <w:pStyle w:val="ListParagraph"/>
        <w:numPr>
          <w:ilvl w:val="0"/>
          <w:numId w:val="16"/>
        </w:numPr>
        <w:spacing w:line="360" w:lineRule="auto"/>
        <w:jc w:val="both"/>
        <w:rPr>
          <w:rFonts w:ascii="Times New Roman" w:eastAsia="Times New Roman" w:hAnsi="Times New Roman" w:cs="Times New Roman"/>
          <w:i/>
          <w:iCs/>
          <w:color w:val="212121"/>
          <w:lang w:eastAsia="en-GB"/>
        </w:rPr>
      </w:pPr>
      <w:r w:rsidRPr="008E3140">
        <w:rPr>
          <w:rFonts w:ascii="Times New Roman" w:hAnsi="Times New Roman" w:cs="Times New Roman"/>
        </w:rPr>
        <w:t xml:space="preserve">the defence arises where </w:t>
      </w:r>
      <w:r w:rsidR="008E3140">
        <w:rPr>
          <w:rFonts w:ascii="Times New Roman" w:hAnsi="Times New Roman" w:cs="Times New Roman"/>
        </w:rPr>
        <w:t>an accused</w:t>
      </w:r>
      <w:r w:rsidRPr="008E3140">
        <w:rPr>
          <w:rFonts w:ascii="Times New Roman" w:hAnsi="Times New Roman" w:cs="Times New Roman"/>
        </w:rPr>
        <w:t xml:space="preserve"> honestly believes that his/her actions in damaging property were “</w:t>
      </w:r>
      <w:r w:rsidRPr="008E3140">
        <w:rPr>
          <w:rFonts w:ascii="Times New Roman" w:hAnsi="Times New Roman" w:cs="Times New Roman"/>
          <w:i/>
          <w:iCs/>
        </w:rPr>
        <w:t xml:space="preserve">in order” </w:t>
      </w:r>
      <w:r w:rsidRPr="008E3140">
        <w:rPr>
          <w:rFonts w:ascii="Times New Roman" w:hAnsi="Times New Roman" w:cs="Times New Roman"/>
        </w:rPr>
        <w:t>to protect him or herself or another, and the offence is “</w:t>
      </w:r>
      <w:r w:rsidRPr="008E3140">
        <w:rPr>
          <w:rFonts w:ascii="Times New Roman" w:hAnsi="Times New Roman" w:cs="Times New Roman"/>
          <w:i/>
          <w:iCs/>
        </w:rPr>
        <w:t xml:space="preserve">reasonable” </w:t>
      </w:r>
      <w:r w:rsidRPr="008E3140">
        <w:rPr>
          <w:rFonts w:ascii="Times New Roman" w:hAnsi="Times New Roman" w:cs="Times New Roman"/>
        </w:rPr>
        <w:t xml:space="preserve">in the </w:t>
      </w:r>
      <w:proofErr w:type="gramStart"/>
      <w:r w:rsidRPr="008E3140">
        <w:rPr>
          <w:rFonts w:ascii="Times New Roman" w:hAnsi="Times New Roman" w:cs="Times New Roman"/>
        </w:rPr>
        <w:t>circumstances;</w:t>
      </w:r>
      <w:proofErr w:type="gramEnd"/>
    </w:p>
    <w:p w14:paraId="370B30B8" w14:textId="6551747F" w:rsidR="008C25EF" w:rsidRPr="008E3140" w:rsidRDefault="005378DC" w:rsidP="00824073">
      <w:pPr>
        <w:pStyle w:val="ListParagraph"/>
        <w:numPr>
          <w:ilvl w:val="0"/>
          <w:numId w:val="16"/>
        </w:numPr>
        <w:spacing w:line="360" w:lineRule="auto"/>
        <w:jc w:val="both"/>
        <w:rPr>
          <w:rFonts w:ascii="Times New Roman" w:eastAsia="Times New Roman" w:hAnsi="Times New Roman" w:cs="Times New Roman"/>
          <w:i/>
          <w:iCs/>
          <w:color w:val="212121"/>
          <w:lang w:eastAsia="en-GB"/>
        </w:rPr>
      </w:pPr>
      <w:r w:rsidRPr="008E3140">
        <w:rPr>
          <w:rFonts w:ascii="Times New Roman" w:hAnsi="Times New Roman" w:cs="Times New Roman"/>
        </w:rPr>
        <w:t>the defence is not limited only to that provided for within section 6; sub-section (2) suggests that a lawful excuse may also arise outside of the application of the sub-section</w:t>
      </w:r>
      <w:r w:rsidR="00C133A1">
        <w:rPr>
          <w:rFonts w:ascii="Times New Roman" w:hAnsi="Times New Roman" w:cs="Times New Roman"/>
        </w:rPr>
        <w:t>,</w:t>
      </w:r>
      <w:r w:rsidRPr="008E3140">
        <w:rPr>
          <w:rFonts w:ascii="Times New Roman" w:hAnsi="Times New Roman" w:cs="Times New Roman"/>
        </w:rPr>
        <w:t xml:space="preserve"> and sub-section (5) makes clear that the section does not “</w:t>
      </w:r>
      <w:r w:rsidRPr="008E3140">
        <w:rPr>
          <w:rFonts w:ascii="Times New Roman" w:hAnsi="Times New Roman" w:cs="Times New Roman"/>
          <w:i/>
          <w:iCs/>
        </w:rPr>
        <w:t xml:space="preserve">cast doubt” </w:t>
      </w:r>
      <w:r w:rsidRPr="008E3140">
        <w:rPr>
          <w:rFonts w:ascii="Times New Roman" w:hAnsi="Times New Roman" w:cs="Times New Roman"/>
        </w:rPr>
        <w:t>on any defence recognised by law.</w:t>
      </w:r>
    </w:p>
    <w:p w14:paraId="5653E881" w14:textId="77777777" w:rsidR="008C25EF" w:rsidRDefault="008C25EF" w:rsidP="00824073">
      <w:pPr>
        <w:spacing w:line="360" w:lineRule="auto"/>
        <w:jc w:val="both"/>
        <w:rPr>
          <w:rFonts w:ascii="Times New Roman" w:hAnsi="Times New Roman" w:cs="Times New Roman"/>
        </w:rPr>
      </w:pPr>
    </w:p>
    <w:p w14:paraId="763353C6" w14:textId="2EDE1C71" w:rsidR="00F025EE" w:rsidRPr="00F025EE" w:rsidRDefault="00BB3ADF" w:rsidP="00F025EE">
      <w:pPr>
        <w:pStyle w:val="ListParagraph"/>
        <w:numPr>
          <w:ilvl w:val="0"/>
          <w:numId w:val="1"/>
        </w:numPr>
        <w:spacing w:line="360" w:lineRule="auto"/>
        <w:jc w:val="both"/>
        <w:rPr>
          <w:rFonts w:ascii="Times New Roman" w:eastAsia="Times New Roman" w:hAnsi="Times New Roman" w:cs="Times New Roman"/>
          <w:color w:val="212121"/>
          <w:lang w:eastAsia="en-GB"/>
        </w:rPr>
      </w:pPr>
      <w:r>
        <w:rPr>
          <w:rFonts w:ascii="Times New Roman" w:eastAsia="Times New Roman" w:hAnsi="Times New Roman" w:cs="Times New Roman"/>
          <w:color w:val="212121"/>
          <w:lang w:eastAsia="en-GB"/>
        </w:rPr>
        <w:t xml:space="preserve">In the decision of this Court in </w:t>
      </w:r>
      <w:r w:rsidR="00F109A1" w:rsidRPr="00CA2E57">
        <w:rPr>
          <w:rFonts w:ascii="Times New Roman" w:eastAsia="Times New Roman" w:hAnsi="Times New Roman" w:cs="Times New Roman"/>
          <w:b/>
          <w:bCs/>
          <w:i/>
          <w:iCs/>
          <w:color w:val="212121"/>
          <w:lang w:eastAsia="en-GB"/>
        </w:rPr>
        <w:t>People (DPP) v</w:t>
      </w:r>
      <w:r w:rsidR="00CA2E57" w:rsidRPr="00CA2E57">
        <w:rPr>
          <w:rFonts w:ascii="Times New Roman" w:eastAsia="Times New Roman" w:hAnsi="Times New Roman" w:cs="Times New Roman"/>
          <w:b/>
          <w:bCs/>
          <w:i/>
          <w:iCs/>
          <w:color w:val="212121"/>
          <w:lang w:eastAsia="en-GB"/>
        </w:rPr>
        <w:t>.</w:t>
      </w:r>
      <w:r w:rsidR="00F109A1" w:rsidRPr="00CA2E57">
        <w:rPr>
          <w:rFonts w:ascii="Times New Roman" w:eastAsia="Times New Roman" w:hAnsi="Times New Roman" w:cs="Times New Roman"/>
          <w:b/>
          <w:bCs/>
          <w:i/>
          <w:iCs/>
          <w:color w:val="212121"/>
          <w:lang w:eastAsia="en-GB"/>
        </w:rPr>
        <w:t xml:space="preserve"> Crawford</w:t>
      </w:r>
      <w:r w:rsidR="00F109A1" w:rsidRPr="00F109A1">
        <w:rPr>
          <w:rFonts w:ascii="Times New Roman" w:eastAsia="Times New Roman" w:hAnsi="Times New Roman" w:cs="Times New Roman"/>
          <w:color w:val="212121"/>
          <w:lang w:eastAsia="en-GB"/>
        </w:rPr>
        <w:t xml:space="preserve"> [2024] 2 ILRM 313, [2024] IESC 44</w:t>
      </w:r>
      <w:r w:rsidR="00CA2E57">
        <w:rPr>
          <w:rFonts w:ascii="Times New Roman" w:eastAsia="Times New Roman" w:hAnsi="Times New Roman" w:cs="Times New Roman"/>
          <w:color w:val="212121"/>
          <w:lang w:eastAsia="en-GB"/>
        </w:rPr>
        <w:t>,</w:t>
      </w:r>
      <w:r w:rsidR="00F109A1">
        <w:rPr>
          <w:rFonts w:ascii="Times New Roman" w:eastAsia="Times New Roman" w:hAnsi="Times New Roman" w:cs="Times New Roman"/>
          <w:color w:val="212121"/>
          <w:lang w:eastAsia="en-GB"/>
        </w:rPr>
        <w:t xml:space="preserve"> </w:t>
      </w:r>
      <w:r>
        <w:rPr>
          <w:rFonts w:ascii="Times New Roman" w:eastAsia="Times New Roman" w:hAnsi="Times New Roman" w:cs="Times New Roman"/>
          <w:color w:val="212121"/>
          <w:lang w:eastAsia="en-GB"/>
        </w:rPr>
        <w:t>the Court addressed the</w:t>
      </w:r>
      <w:r w:rsidR="00A86B5C">
        <w:rPr>
          <w:rFonts w:ascii="Times New Roman" w:eastAsia="Times New Roman" w:hAnsi="Times New Roman" w:cs="Times New Roman"/>
          <w:color w:val="212121"/>
          <w:lang w:eastAsia="en-GB"/>
        </w:rPr>
        <w:t xml:space="preserve"> </w:t>
      </w:r>
      <w:r w:rsidR="00834608">
        <w:rPr>
          <w:rFonts w:ascii="Times New Roman" w:eastAsia="Times New Roman" w:hAnsi="Times New Roman" w:cs="Times New Roman"/>
          <w:color w:val="212121"/>
          <w:lang w:eastAsia="en-GB"/>
        </w:rPr>
        <w:t xml:space="preserve">defence of self-defence </w:t>
      </w:r>
      <w:r w:rsidR="00CA2E57">
        <w:rPr>
          <w:rFonts w:ascii="Times New Roman" w:eastAsia="Times New Roman" w:hAnsi="Times New Roman" w:cs="Times New Roman"/>
          <w:color w:val="212121"/>
          <w:lang w:eastAsia="en-GB"/>
        </w:rPr>
        <w:t>in the context of homicide</w:t>
      </w:r>
      <w:r w:rsidR="00EF20D6">
        <w:rPr>
          <w:rFonts w:ascii="Times New Roman" w:eastAsia="Times New Roman" w:hAnsi="Times New Roman" w:cs="Times New Roman"/>
          <w:color w:val="212121"/>
          <w:lang w:eastAsia="en-GB"/>
        </w:rPr>
        <w:t>. There is some parallel in the language in section 18 of the Non-Fatal Offences against the Person Act 1997 and that</w:t>
      </w:r>
      <w:r w:rsidR="00066B33">
        <w:rPr>
          <w:rFonts w:ascii="Times New Roman" w:eastAsia="Times New Roman" w:hAnsi="Times New Roman" w:cs="Times New Roman"/>
          <w:color w:val="212121"/>
          <w:lang w:eastAsia="en-GB"/>
        </w:rPr>
        <w:t xml:space="preserve"> </w:t>
      </w:r>
      <w:r w:rsidR="00F025EE" w:rsidRPr="00F025EE">
        <w:rPr>
          <w:rFonts w:ascii="Times New Roman" w:eastAsia="Times New Roman" w:hAnsi="Times New Roman" w:cs="Times New Roman"/>
          <w:color w:val="212121"/>
          <w:lang w:eastAsia="en-GB"/>
        </w:rPr>
        <w:t xml:space="preserve">in section 6(2)(c), in particular the hybrid nature of the defence in that the accused must have a separate purpose for their actions (broadly, the protection of oneself or others) and their conduct must be objectively reasonable, in the circumstances as the person subjectively perceived them. One distinction between the two is that it is not clear from section 6(2)(c) that the person must have “honestly believed” the damage necessary to protect himself or another. Also, there is no reference in section 6 to the jury ascertaining the presence or absence of reasonable grounds for the accused’s belief. </w:t>
      </w:r>
    </w:p>
    <w:p w14:paraId="2A21C57F" w14:textId="77777777" w:rsidR="00F025EE" w:rsidRPr="00F025EE" w:rsidRDefault="00F025EE" w:rsidP="00F025EE">
      <w:pPr>
        <w:pStyle w:val="ListParagraph"/>
        <w:spacing w:line="360" w:lineRule="auto"/>
        <w:ind w:left="644"/>
        <w:jc w:val="both"/>
        <w:rPr>
          <w:rFonts w:ascii="Times New Roman" w:eastAsia="Times New Roman" w:hAnsi="Times New Roman" w:cs="Times New Roman"/>
          <w:color w:val="212121"/>
          <w:lang w:eastAsia="en-GB"/>
        </w:rPr>
      </w:pPr>
    </w:p>
    <w:p w14:paraId="6CA268A2" w14:textId="4B3E910D" w:rsidR="00F025EE" w:rsidRPr="00E817F7" w:rsidRDefault="00F025EE" w:rsidP="00E817F7">
      <w:pPr>
        <w:pStyle w:val="ListParagraph"/>
        <w:numPr>
          <w:ilvl w:val="0"/>
          <w:numId w:val="1"/>
        </w:numPr>
        <w:spacing w:line="360" w:lineRule="auto"/>
        <w:jc w:val="both"/>
        <w:rPr>
          <w:rFonts w:ascii="Times New Roman" w:eastAsia="Times New Roman" w:hAnsi="Times New Roman" w:cs="Times New Roman"/>
          <w:color w:val="212121"/>
          <w:lang w:eastAsia="en-GB"/>
        </w:rPr>
      </w:pPr>
      <w:r w:rsidRPr="00E817F7">
        <w:rPr>
          <w:rFonts w:ascii="Times New Roman" w:eastAsia="Times New Roman" w:hAnsi="Times New Roman" w:cs="Times New Roman"/>
          <w:b/>
          <w:bCs/>
          <w:i/>
          <w:iCs/>
          <w:color w:val="212121"/>
          <w:lang w:eastAsia="en-GB"/>
        </w:rPr>
        <w:lastRenderedPageBreak/>
        <w:t>Crawford</w:t>
      </w:r>
      <w:r w:rsidRPr="00F025EE">
        <w:rPr>
          <w:rFonts w:ascii="Times New Roman" w:eastAsia="Times New Roman" w:hAnsi="Times New Roman" w:cs="Times New Roman"/>
          <w:color w:val="212121"/>
          <w:lang w:eastAsia="en-GB"/>
        </w:rPr>
        <w:t xml:space="preserve"> does not directly address the question regarding removing the defence from the jury’s consideration, but it emphasises the role of the jury as finder of fact  – both in relation to what the accused perceived and honestly believed, and in relation to whether the accused’s actions thereafter were reasonable as must be assessed by “reasonable members of the community”. </w:t>
      </w:r>
      <w:r w:rsidRPr="00E817F7">
        <w:rPr>
          <w:rFonts w:ascii="Times New Roman" w:eastAsia="Times New Roman" w:hAnsi="Times New Roman" w:cs="Times New Roman"/>
          <w:color w:val="212121"/>
          <w:lang w:eastAsia="en-GB"/>
        </w:rPr>
        <w:t xml:space="preserve">The assessment in </w:t>
      </w:r>
      <w:r w:rsidR="00E817F7">
        <w:rPr>
          <w:rFonts w:ascii="Times New Roman" w:eastAsia="Times New Roman" w:hAnsi="Times New Roman" w:cs="Times New Roman"/>
          <w:color w:val="212121"/>
          <w:lang w:eastAsia="en-GB"/>
        </w:rPr>
        <w:t>th</w:t>
      </w:r>
      <w:r w:rsidRPr="00E817F7">
        <w:rPr>
          <w:rFonts w:ascii="Times New Roman" w:eastAsia="Times New Roman" w:hAnsi="Times New Roman" w:cs="Times New Roman"/>
          <w:color w:val="212121"/>
          <w:lang w:eastAsia="en-GB"/>
        </w:rPr>
        <w:t>is regard seems pre-eminently a matter for the jury to decide, with a risk of the judge usurping that role if he or she were</w:t>
      </w:r>
      <w:r w:rsidR="00C133A1">
        <w:rPr>
          <w:rFonts w:ascii="Times New Roman" w:eastAsia="Times New Roman" w:hAnsi="Times New Roman" w:cs="Times New Roman"/>
          <w:color w:val="212121"/>
          <w:lang w:eastAsia="en-GB"/>
        </w:rPr>
        <w:t xml:space="preserve"> </w:t>
      </w:r>
      <w:r w:rsidRPr="00E817F7">
        <w:rPr>
          <w:rFonts w:ascii="Times New Roman" w:eastAsia="Times New Roman" w:hAnsi="Times New Roman" w:cs="Times New Roman"/>
          <w:color w:val="212121"/>
          <w:lang w:eastAsia="en-GB"/>
        </w:rPr>
        <w:t xml:space="preserve">to form their own view on reasonableness and withhold the defence on that basis.  </w:t>
      </w:r>
    </w:p>
    <w:p w14:paraId="29A2A17D" w14:textId="2D950457" w:rsidR="00BB3ADF" w:rsidRPr="00BB3ADF" w:rsidRDefault="00BB3ADF" w:rsidP="00F025EE">
      <w:pPr>
        <w:pStyle w:val="ListParagraph"/>
        <w:spacing w:line="360" w:lineRule="auto"/>
        <w:ind w:left="644"/>
        <w:jc w:val="both"/>
        <w:rPr>
          <w:rFonts w:ascii="Times New Roman" w:eastAsia="Times New Roman" w:hAnsi="Times New Roman" w:cs="Times New Roman"/>
          <w:i/>
          <w:iCs/>
          <w:color w:val="212121"/>
          <w:lang w:eastAsia="en-GB"/>
        </w:rPr>
      </w:pPr>
    </w:p>
    <w:p w14:paraId="16654F54" w14:textId="18EDA88B" w:rsidR="008E3140" w:rsidRPr="008D1434" w:rsidRDefault="005378DC" w:rsidP="008D1434">
      <w:pPr>
        <w:pStyle w:val="ListParagraph"/>
        <w:numPr>
          <w:ilvl w:val="0"/>
          <w:numId w:val="1"/>
        </w:numPr>
        <w:spacing w:line="360" w:lineRule="auto"/>
        <w:jc w:val="both"/>
        <w:rPr>
          <w:rFonts w:ascii="Times New Roman" w:eastAsia="Times New Roman" w:hAnsi="Times New Roman" w:cs="Times New Roman"/>
          <w:i/>
          <w:iCs/>
          <w:color w:val="212121"/>
          <w:lang w:eastAsia="en-GB"/>
        </w:rPr>
      </w:pPr>
      <w:r w:rsidRPr="008E3140">
        <w:rPr>
          <w:rFonts w:ascii="Times New Roman" w:hAnsi="Times New Roman" w:cs="Times New Roman"/>
        </w:rPr>
        <w:t>It may be observed that in</w:t>
      </w:r>
      <w:r w:rsidR="00BB3ADF">
        <w:rPr>
          <w:rFonts w:ascii="Times New Roman" w:hAnsi="Times New Roman" w:cs="Times New Roman"/>
        </w:rPr>
        <w:t xml:space="preserve"> the Appellant’s case, in</w:t>
      </w:r>
      <w:r w:rsidRPr="008E3140">
        <w:rPr>
          <w:rFonts w:ascii="Times New Roman" w:hAnsi="Times New Roman" w:cs="Times New Roman"/>
        </w:rPr>
        <w:t xml:space="preserve"> permitting the defence of “lawful excuse” to go to the </w:t>
      </w:r>
      <w:r w:rsidR="00E817F7">
        <w:rPr>
          <w:rFonts w:ascii="Times New Roman" w:hAnsi="Times New Roman" w:cs="Times New Roman"/>
        </w:rPr>
        <w:t>j</w:t>
      </w:r>
      <w:r w:rsidRPr="008E3140">
        <w:rPr>
          <w:rFonts w:ascii="Times New Roman" w:hAnsi="Times New Roman" w:cs="Times New Roman"/>
        </w:rPr>
        <w:t xml:space="preserve">ury it might be assumed that there was at least a tacit acceptance by the </w:t>
      </w:r>
      <w:r w:rsidR="008E3140">
        <w:rPr>
          <w:rFonts w:ascii="Times New Roman" w:hAnsi="Times New Roman" w:cs="Times New Roman"/>
        </w:rPr>
        <w:t>t</w:t>
      </w:r>
      <w:r w:rsidRPr="008E3140">
        <w:rPr>
          <w:rFonts w:ascii="Times New Roman" w:hAnsi="Times New Roman" w:cs="Times New Roman"/>
        </w:rPr>
        <w:t xml:space="preserve">rial </w:t>
      </w:r>
      <w:r w:rsidR="008E3140">
        <w:rPr>
          <w:rFonts w:ascii="Times New Roman" w:hAnsi="Times New Roman" w:cs="Times New Roman"/>
        </w:rPr>
        <w:t>j</w:t>
      </w:r>
      <w:r w:rsidRPr="008E3140">
        <w:rPr>
          <w:rFonts w:ascii="Times New Roman" w:hAnsi="Times New Roman" w:cs="Times New Roman"/>
        </w:rPr>
        <w:t>udge that the defence might arise on the facts of the case.</w:t>
      </w:r>
    </w:p>
    <w:p w14:paraId="317ED0D8" w14:textId="77777777" w:rsidR="001403AC" w:rsidRPr="001403AC" w:rsidRDefault="001403AC" w:rsidP="001403AC">
      <w:pPr>
        <w:spacing w:line="360" w:lineRule="auto"/>
        <w:jc w:val="both"/>
        <w:rPr>
          <w:rFonts w:ascii="Times New Roman" w:eastAsia="Times New Roman" w:hAnsi="Times New Roman" w:cs="Times New Roman"/>
          <w:i/>
          <w:iCs/>
          <w:color w:val="212121"/>
          <w:lang w:eastAsia="en-GB"/>
        </w:rPr>
      </w:pPr>
    </w:p>
    <w:p w14:paraId="3FD881D9" w14:textId="07E6BAA1" w:rsidR="008C25EF" w:rsidRPr="008E3140" w:rsidRDefault="00DB532E" w:rsidP="00824073">
      <w:pPr>
        <w:pStyle w:val="ListParagraph"/>
        <w:numPr>
          <w:ilvl w:val="0"/>
          <w:numId w:val="15"/>
        </w:numPr>
        <w:spacing w:line="360" w:lineRule="auto"/>
        <w:jc w:val="both"/>
        <w:rPr>
          <w:rFonts w:ascii="Times New Roman" w:eastAsia="Times New Roman" w:hAnsi="Times New Roman" w:cs="Times New Roman"/>
          <w:i/>
          <w:iCs/>
          <w:color w:val="212121"/>
          <w:lang w:eastAsia="en-GB"/>
        </w:rPr>
      </w:pPr>
      <w:r w:rsidRPr="008E3140">
        <w:rPr>
          <w:rFonts w:ascii="Times New Roman" w:eastAsia="Times New Roman" w:hAnsi="Times New Roman" w:cs="Times New Roman"/>
          <w:b/>
          <w:bCs/>
          <w:lang w:eastAsia="en-GB"/>
        </w:rPr>
        <w:t>Lawful excuse and necessity – overlapping factors for consideration</w:t>
      </w:r>
    </w:p>
    <w:p w14:paraId="6F532E1E" w14:textId="77777777" w:rsidR="008E3140" w:rsidRPr="008E3140" w:rsidRDefault="008E3140" w:rsidP="00824073">
      <w:pPr>
        <w:pStyle w:val="ListParagraph"/>
        <w:spacing w:line="360" w:lineRule="auto"/>
        <w:jc w:val="both"/>
        <w:rPr>
          <w:rFonts w:ascii="Times New Roman" w:eastAsia="Times New Roman" w:hAnsi="Times New Roman" w:cs="Times New Roman"/>
          <w:i/>
          <w:iCs/>
          <w:color w:val="212121"/>
          <w:lang w:eastAsia="en-GB"/>
        </w:rPr>
      </w:pPr>
    </w:p>
    <w:p w14:paraId="4C78F946" w14:textId="77777777" w:rsidR="00736EE8" w:rsidRPr="008C25EF" w:rsidRDefault="00736EE8" w:rsidP="00736EE8">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hAnsi="Times New Roman" w:cs="Times New Roman"/>
        </w:rPr>
        <w:t>T</w:t>
      </w:r>
      <w:r w:rsidRPr="008C25EF">
        <w:rPr>
          <w:rFonts w:ascii="Times New Roman" w:hAnsi="Times New Roman" w:cs="Times New Roman"/>
        </w:rPr>
        <w:t xml:space="preserve">here is considerable overlap in the elements of the statutory definition of “lawful excuse” under section 6(1) of the 1991 Act and the elements of the defence of necessity such that the same factors might have been considered in respect of both definitions. </w:t>
      </w:r>
    </w:p>
    <w:p w14:paraId="455FD987" w14:textId="77777777" w:rsidR="00736EE8" w:rsidRPr="00736EE8" w:rsidRDefault="00736EE8" w:rsidP="00736EE8">
      <w:pPr>
        <w:pStyle w:val="ListParagraph"/>
        <w:spacing w:line="360" w:lineRule="auto"/>
        <w:ind w:left="644"/>
        <w:jc w:val="both"/>
        <w:rPr>
          <w:rFonts w:ascii="Times New Roman" w:eastAsia="Times New Roman" w:hAnsi="Times New Roman" w:cs="Times New Roman"/>
          <w:i/>
          <w:iCs/>
          <w:color w:val="212121"/>
          <w:lang w:eastAsia="en-GB"/>
        </w:rPr>
      </w:pPr>
    </w:p>
    <w:p w14:paraId="3FF4E341" w14:textId="204F6FC8" w:rsidR="00736EE8" w:rsidRPr="001403AC" w:rsidRDefault="00736EE8" w:rsidP="00736EE8">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hAnsi="Times New Roman" w:cs="Times New Roman"/>
        </w:rPr>
        <w:t>In the present case, a</w:t>
      </w:r>
      <w:r w:rsidRPr="001403AC">
        <w:rPr>
          <w:rFonts w:ascii="Times New Roman" w:hAnsi="Times New Roman" w:cs="Times New Roman"/>
        </w:rPr>
        <w:t xml:space="preserve"> question might be </w:t>
      </w:r>
      <w:r>
        <w:rPr>
          <w:rFonts w:ascii="Times New Roman" w:hAnsi="Times New Roman" w:cs="Times New Roman"/>
        </w:rPr>
        <w:t>put</w:t>
      </w:r>
      <w:r w:rsidRPr="001403AC">
        <w:rPr>
          <w:rFonts w:ascii="Times New Roman" w:hAnsi="Times New Roman" w:cs="Times New Roman"/>
        </w:rPr>
        <w:t xml:space="preserve"> as follows: if the trial judge accepted that there was some evidence (whatever about the extent of that evidence or </w:t>
      </w:r>
      <w:r w:rsidR="00E817F7">
        <w:rPr>
          <w:rFonts w:ascii="Times New Roman" w:hAnsi="Times New Roman" w:cs="Times New Roman"/>
        </w:rPr>
        <w:t>its</w:t>
      </w:r>
      <w:r w:rsidRPr="001403AC">
        <w:rPr>
          <w:rFonts w:ascii="Times New Roman" w:hAnsi="Times New Roman" w:cs="Times New Roman"/>
        </w:rPr>
        <w:t xml:space="preserve"> merits) that the accused had an honestly held belief that </w:t>
      </w:r>
      <w:r w:rsidR="00DE39E8">
        <w:rPr>
          <w:rFonts w:ascii="Times New Roman" w:hAnsi="Times New Roman" w:cs="Times New Roman"/>
        </w:rPr>
        <w:t>his actions were undertaken i</w:t>
      </w:r>
      <w:r w:rsidRPr="001403AC">
        <w:rPr>
          <w:rFonts w:ascii="Times New Roman" w:hAnsi="Times New Roman" w:cs="Times New Roman"/>
        </w:rPr>
        <w:t xml:space="preserve">n order to protect others and that his actions were reasonable in the circumstances, ought the same factors not have been considered in respect of the offence of trespass under the heading of a general defence of necessity? </w:t>
      </w:r>
    </w:p>
    <w:p w14:paraId="30BF113A" w14:textId="77777777" w:rsidR="00736EE8" w:rsidRPr="001403AC" w:rsidRDefault="00736EE8" w:rsidP="00736EE8">
      <w:pPr>
        <w:pStyle w:val="ListParagraph"/>
        <w:rPr>
          <w:rFonts w:ascii="Times New Roman" w:eastAsia="Times New Roman" w:hAnsi="Times New Roman" w:cs="Times New Roman"/>
          <w:i/>
          <w:iCs/>
          <w:color w:val="212121"/>
          <w:lang w:eastAsia="en-GB"/>
        </w:rPr>
      </w:pPr>
    </w:p>
    <w:p w14:paraId="64BDD0E8" w14:textId="69909D89" w:rsidR="00736EE8" w:rsidRPr="00736EE8" w:rsidRDefault="00736EE8" w:rsidP="00736EE8">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eastAsia="Times New Roman" w:hAnsi="Times New Roman" w:cs="Times New Roman"/>
          <w:color w:val="212121"/>
          <w:lang w:eastAsia="en-GB"/>
        </w:rPr>
        <w:t xml:space="preserve">Whilst it is accepted that the defences are not identical and that many of the authorities discussed above emphasise there being some temporal element – generally framed as imminence or immediacy – as an element of the offence, the environmental case law seems to suggest the possibility of a broader interpretation of the temporal element. </w:t>
      </w:r>
      <w:r w:rsidR="00E817F7">
        <w:rPr>
          <w:rFonts w:ascii="Times New Roman" w:eastAsia="Times New Roman" w:hAnsi="Times New Roman" w:cs="Times New Roman"/>
          <w:color w:val="212121"/>
          <w:lang w:eastAsia="en-GB"/>
        </w:rPr>
        <w:t>In any event, the Appellant’s position appears to have been that he believed that grave wrongs had already been committed such that there was a continuing and on-going risk to others.</w:t>
      </w:r>
    </w:p>
    <w:p w14:paraId="0B903422" w14:textId="77777777" w:rsidR="008E3140" w:rsidRPr="008E3140" w:rsidRDefault="008E3140" w:rsidP="00824073">
      <w:pPr>
        <w:pStyle w:val="ListParagraph"/>
        <w:spacing w:line="360" w:lineRule="auto"/>
        <w:jc w:val="both"/>
        <w:rPr>
          <w:rFonts w:ascii="Times New Roman" w:eastAsia="Times New Roman" w:hAnsi="Times New Roman" w:cs="Times New Roman"/>
          <w:i/>
          <w:iCs/>
          <w:color w:val="212121"/>
          <w:lang w:eastAsia="en-GB"/>
        </w:rPr>
      </w:pPr>
    </w:p>
    <w:p w14:paraId="1EF2CB73" w14:textId="19F9396F" w:rsidR="008C25EF" w:rsidRPr="00E817F7" w:rsidRDefault="008E3140" w:rsidP="00E817F7">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hAnsi="Times New Roman" w:cs="Times New Roman"/>
        </w:rPr>
        <w:lastRenderedPageBreak/>
        <w:t xml:space="preserve">An </w:t>
      </w:r>
      <w:r w:rsidR="003441CD" w:rsidRPr="008C25EF">
        <w:rPr>
          <w:rFonts w:ascii="Times New Roman" w:hAnsi="Times New Roman" w:cs="Times New Roman"/>
        </w:rPr>
        <w:t xml:space="preserve">excessively narrow construction of the defence </w:t>
      </w:r>
      <w:r>
        <w:rPr>
          <w:rFonts w:ascii="Times New Roman" w:hAnsi="Times New Roman" w:cs="Times New Roman"/>
        </w:rPr>
        <w:t xml:space="preserve">of necessity </w:t>
      </w:r>
      <w:r w:rsidR="003441CD" w:rsidRPr="008C25EF">
        <w:rPr>
          <w:rFonts w:ascii="Times New Roman" w:hAnsi="Times New Roman" w:cs="Times New Roman"/>
        </w:rPr>
        <w:t xml:space="preserve">may result in similar challenges to those experienced in England and Wales which has resulted in the development of parallel jurisprudence on duress of circumstances. </w:t>
      </w:r>
    </w:p>
    <w:p w14:paraId="4F00F6FB" w14:textId="77777777" w:rsidR="003B3CBA" w:rsidRPr="003B3CBA" w:rsidRDefault="003B3CBA" w:rsidP="003B3CBA">
      <w:pPr>
        <w:pStyle w:val="ListParagraph"/>
        <w:rPr>
          <w:rFonts w:ascii="Times New Roman" w:eastAsia="Times New Roman" w:hAnsi="Times New Roman" w:cs="Times New Roman"/>
          <w:i/>
          <w:iCs/>
          <w:color w:val="212121"/>
          <w:lang w:eastAsia="en-GB"/>
        </w:rPr>
      </w:pPr>
    </w:p>
    <w:p w14:paraId="42ABAC62" w14:textId="00AECEC6" w:rsidR="003B3CBA" w:rsidRPr="00041F9B" w:rsidRDefault="003B3CBA" w:rsidP="00824073">
      <w:pPr>
        <w:pStyle w:val="ListParagraph"/>
        <w:numPr>
          <w:ilvl w:val="0"/>
          <w:numId w:val="1"/>
        </w:numPr>
        <w:spacing w:line="360" w:lineRule="auto"/>
        <w:jc w:val="both"/>
        <w:rPr>
          <w:rFonts w:ascii="Times New Roman" w:eastAsia="Times New Roman" w:hAnsi="Times New Roman" w:cs="Times New Roman"/>
          <w:i/>
          <w:iCs/>
          <w:color w:val="212121"/>
          <w:lang w:eastAsia="en-GB"/>
        </w:rPr>
      </w:pPr>
      <w:r>
        <w:rPr>
          <w:rFonts w:ascii="Times New Roman" w:eastAsia="Times New Roman" w:hAnsi="Times New Roman" w:cs="Times New Roman"/>
          <w:color w:val="212121"/>
          <w:lang w:eastAsia="en-GB"/>
        </w:rPr>
        <w:t>In the Commission’s submission, the case law supports a definition</w:t>
      </w:r>
      <w:r w:rsidR="00E817F7">
        <w:rPr>
          <w:rFonts w:ascii="Times New Roman" w:eastAsia="Times New Roman" w:hAnsi="Times New Roman" w:cs="Times New Roman"/>
          <w:color w:val="212121"/>
          <w:lang w:eastAsia="en-GB"/>
        </w:rPr>
        <w:t xml:space="preserve"> of the defence of necessity</w:t>
      </w:r>
      <w:r>
        <w:rPr>
          <w:rFonts w:ascii="Times New Roman" w:eastAsia="Times New Roman" w:hAnsi="Times New Roman" w:cs="Times New Roman"/>
          <w:color w:val="212121"/>
          <w:lang w:eastAsia="en-GB"/>
        </w:rPr>
        <w:t xml:space="preserve"> which contains both subjective and objective elements s</w:t>
      </w:r>
      <w:r w:rsidR="00E817F7">
        <w:rPr>
          <w:rFonts w:ascii="Times New Roman" w:eastAsia="Times New Roman" w:hAnsi="Times New Roman" w:cs="Times New Roman"/>
          <w:color w:val="212121"/>
          <w:lang w:eastAsia="en-GB"/>
        </w:rPr>
        <w:t>o</w:t>
      </w:r>
      <w:r>
        <w:rPr>
          <w:rFonts w:ascii="Times New Roman" w:eastAsia="Times New Roman" w:hAnsi="Times New Roman" w:cs="Times New Roman"/>
          <w:color w:val="212121"/>
          <w:lang w:eastAsia="en-GB"/>
        </w:rPr>
        <w:t xml:space="preserve"> that the defence </w:t>
      </w:r>
      <w:r w:rsidR="00E817F7">
        <w:rPr>
          <w:rFonts w:ascii="Times New Roman" w:eastAsia="Times New Roman" w:hAnsi="Times New Roman" w:cs="Times New Roman"/>
          <w:color w:val="212121"/>
          <w:lang w:eastAsia="en-GB"/>
        </w:rPr>
        <w:t>remains one which is restrictively applied</w:t>
      </w:r>
      <w:r w:rsidR="00B92342">
        <w:rPr>
          <w:rFonts w:ascii="Times New Roman" w:eastAsia="Times New Roman" w:hAnsi="Times New Roman" w:cs="Times New Roman"/>
          <w:color w:val="212121"/>
          <w:lang w:eastAsia="en-GB"/>
        </w:rPr>
        <w:t xml:space="preserve"> </w:t>
      </w:r>
      <w:r w:rsidR="00E817F7">
        <w:rPr>
          <w:rFonts w:ascii="Times New Roman" w:eastAsia="Times New Roman" w:hAnsi="Times New Roman" w:cs="Times New Roman"/>
          <w:color w:val="212121"/>
          <w:lang w:eastAsia="en-GB"/>
        </w:rPr>
        <w:t xml:space="preserve">and one which can only be developed case-by-case going forward. The appropriate </w:t>
      </w:r>
      <w:proofErr w:type="spellStart"/>
      <w:r w:rsidR="00E817F7" w:rsidRPr="00E817F7">
        <w:rPr>
          <w:rFonts w:ascii="Times New Roman" w:eastAsia="Times New Roman" w:hAnsi="Times New Roman" w:cs="Times New Roman"/>
          <w:i/>
          <w:iCs/>
          <w:color w:val="212121"/>
          <w:lang w:eastAsia="en-GB"/>
        </w:rPr>
        <w:t>mens</w:t>
      </w:r>
      <w:proofErr w:type="spellEnd"/>
      <w:r w:rsidR="00E817F7" w:rsidRPr="00E817F7">
        <w:rPr>
          <w:rFonts w:ascii="Times New Roman" w:eastAsia="Times New Roman" w:hAnsi="Times New Roman" w:cs="Times New Roman"/>
          <w:i/>
          <w:iCs/>
          <w:color w:val="212121"/>
          <w:lang w:eastAsia="en-GB"/>
        </w:rPr>
        <w:t xml:space="preserve"> rea</w:t>
      </w:r>
      <w:r w:rsidR="00E817F7">
        <w:rPr>
          <w:rFonts w:ascii="Times New Roman" w:eastAsia="Times New Roman" w:hAnsi="Times New Roman" w:cs="Times New Roman"/>
          <w:color w:val="212121"/>
          <w:lang w:eastAsia="en-GB"/>
        </w:rPr>
        <w:t xml:space="preserve"> requirements might be an honest</w:t>
      </w:r>
      <w:r>
        <w:rPr>
          <w:rFonts w:ascii="Times New Roman" w:eastAsia="Times New Roman" w:hAnsi="Times New Roman" w:cs="Times New Roman"/>
          <w:color w:val="212121"/>
          <w:lang w:eastAsia="en-GB"/>
        </w:rPr>
        <w:t xml:space="preserve"> belief </w:t>
      </w:r>
      <w:r w:rsidR="00E817F7">
        <w:rPr>
          <w:rFonts w:ascii="Times New Roman" w:eastAsia="Times New Roman" w:hAnsi="Times New Roman" w:cs="Times New Roman"/>
          <w:color w:val="212121"/>
          <w:lang w:eastAsia="en-GB"/>
        </w:rPr>
        <w:t>on the part o</w:t>
      </w:r>
      <w:r>
        <w:rPr>
          <w:rFonts w:ascii="Times New Roman" w:eastAsia="Times New Roman" w:hAnsi="Times New Roman" w:cs="Times New Roman"/>
          <w:color w:val="212121"/>
          <w:lang w:eastAsia="en-GB"/>
        </w:rPr>
        <w:t xml:space="preserve">f the Defendant that his or her actions </w:t>
      </w:r>
      <w:r w:rsidR="00E817F7">
        <w:rPr>
          <w:rFonts w:ascii="Times New Roman" w:eastAsia="Times New Roman" w:hAnsi="Times New Roman" w:cs="Times New Roman"/>
          <w:color w:val="212121"/>
          <w:lang w:eastAsia="en-GB"/>
        </w:rPr>
        <w:t>we</w:t>
      </w:r>
      <w:r>
        <w:rPr>
          <w:rFonts w:ascii="Times New Roman" w:eastAsia="Times New Roman" w:hAnsi="Times New Roman" w:cs="Times New Roman"/>
          <w:color w:val="212121"/>
          <w:lang w:eastAsia="en-GB"/>
        </w:rPr>
        <w:t>re necessary to</w:t>
      </w:r>
      <w:r w:rsidR="00BF3103">
        <w:rPr>
          <w:rFonts w:ascii="Times New Roman" w:eastAsia="Times New Roman" w:hAnsi="Times New Roman" w:cs="Times New Roman"/>
          <w:color w:val="212121"/>
          <w:lang w:eastAsia="en-GB"/>
        </w:rPr>
        <w:t xml:space="preserve"> avoid or minimise a </w:t>
      </w:r>
      <w:r w:rsidR="00E817F7">
        <w:rPr>
          <w:rFonts w:ascii="Times New Roman" w:eastAsia="Times New Roman" w:hAnsi="Times New Roman" w:cs="Times New Roman"/>
          <w:color w:val="212121"/>
          <w:lang w:eastAsia="en-GB"/>
        </w:rPr>
        <w:t xml:space="preserve">real risk of serious </w:t>
      </w:r>
      <w:r w:rsidR="007D1E05">
        <w:rPr>
          <w:rFonts w:ascii="Times New Roman" w:eastAsia="Times New Roman" w:hAnsi="Times New Roman" w:cs="Times New Roman"/>
          <w:color w:val="212121"/>
          <w:lang w:eastAsia="en-GB"/>
        </w:rPr>
        <w:t>harm</w:t>
      </w:r>
      <w:r w:rsidR="00E817F7">
        <w:rPr>
          <w:rFonts w:ascii="Times New Roman" w:eastAsia="Times New Roman" w:hAnsi="Times New Roman" w:cs="Times New Roman"/>
          <w:color w:val="212121"/>
          <w:lang w:eastAsia="en-GB"/>
        </w:rPr>
        <w:t xml:space="preserve">, with such belief at the time it was held having some objective basis in </w:t>
      </w:r>
      <w:proofErr w:type="gramStart"/>
      <w:r w:rsidR="00E817F7">
        <w:rPr>
          <w:rFonts w:ascii="Times New Roman" w:eastAsia="Times New Roman" w:hAnsi="Times New Roman" w:cs="Times New Roman"/>
          <w:color w:val="212121"/>
          <w:lang w:eastAsia="en-GB"/>
        </w:rPr>
        <w:t>fact, and</w:t>
      </w:r>
      <w:proofErr w:type="gramEnd"/>
      <w:r w:rsidR="00E817F7">
        <w:rPr>
          <w:rFonts w:ascii="Times New Roman" w:eastAsia="Times New Roman" w:hAnsi="Times New Roman" w:cs="Times New Roman"/>
          <w:color w:val="212121"/>
          <w:lang w:eastAsia="en-GB"/>
        </w:rPr>
        <w:t xml:space="preserve"> being reasonable in proportion to the purpose to be achieved.</w:t>
      </w:r>
      <w:r w:rsidR="00F50FCF">
        <w:rPr>
          <w:rFonts w:ascii="Times New Roman" w:eastAsia="Times New Roman" w:hAnsi="Times New Roman" w:cs="Times New Roman"/>
          <w:color w:val="212121"/>
          <w:lang w:eastAsia="en-GB"/>
        </w:rPr>
        <w:t xml:space="preserve"> </w:t>
      </w:r>
    </w:p>
    <w:p w14:paraId="7F4BCACF" w14:textId="77777777" w:rsidR="00E817F7" w:rsidRDefault="00E817F7" w:rsidP="00E817F7">
      <w:pPr>
        <w:pStyle w:val="ListParagraph"/>
        <w:spacing w:line="360" w:lineRule="auto"/>
        <w:ind w:left="644"/>
        <w:jc w:val="both"/>
        <w:rPr>
          <w:rFonts w:ascii="Times New Roman" w:eastAsia="Times New Roman" w:hAnsi="Times New Roman" w:cs="Times New Roman"/>
          <w:color w:val="212121"/>
          <w:lang w:eastAsia="en-GB"/>
        </w:rPr>
      </w:pPr>
    </w:p>
    <w:p w14:paraId="3E4240F3" w14:textId="697D9382" w:rsidR="00041F9B" w:rsidRPr="00C133A1" w:rsidRDefault="008D1434" w:rsidP="00C133A1">
      <w:pPr>
        <w:pStyle w:val="ListParagraph"/>
        <w:numPr>
          <w:ilvl w:val="0"/>
          <w:numId w:val="1"/>
        </w:numPr>
        <w:spacing w:line="360" w:lineRule="auto"/>
        <w:jc w:val="both"/>
        <w:rPr>
          <w:rFonts w:ascii="Times New Roman" w:eastAsia="Times New Roman" w:hAnsi="Times New Roman" w:cs="Times New Roman"/>
          <w:color w:val="212121"/>
          <w:lang w:eastAsia="en-GB"/>
        </w:rPr>
      </w:pPr>
      <w:r>
        <w:rPr>
          <w:rFonts w:ascii="Times New Roman" w:eastAsia="Times New Roman" w:hAnsi="Times New Roman" w:cs="Times New Roman"/>
          <w:color w:val="212121"/>
          <w:lang w:eastAsia="en-GB"/>
        </w:rPr>
        <w:t xml:space="preserve">On the question of </w:t>
      </w:r>
      <w:r w:rsidR="00072A43" w:rsidRPr="00072A43">
        <w:rPr>
          <w:rFonts w:ascii="Times New Roman" w:eastAsia="Times New Roman" w:hAnsi="Times New Roman" w:cs="Times New Roman"/>
          <w:color w:val="212121"/>
          <w:lang w:eastAsia="en-GB"/>
        </w:rPr>
        <w:t xml:space="preserve">whether a defence of lawful excuse </w:t>
      </w:r>
      <w:r w:rsidR="00072A43" w:rsidRPr="00072A43">
        <w:rPr>
          <w:rFonts w:ascii="Times New Roman" w:eastAsia="Times New Roman" w:hAnsi="Times New Roman" w:cs="Times New Roman"/>
          <w:i/>
          <w:iCs/>
          <w:color w:val="212121"/>
          <w:lang w:eastAsia="en-GB"/>
        </w:rPr>
        <w:t>must include</w:t>
      </w:r>
      <w:r w:rsidR="00072A43" w:rsidRPr="00072A43">
        <w:rPr>
          <w:rFonts w:ascii="Times New Roman" w:eastAsia="Times New Roman" w:hAnsi="Times New Roman" w:cs="Times New Roman"/>
          <w:color w:val="212121"/>
          <w:lang w:eastAsia="en-GB"/>
        </w:rPr>
        <w:t xml:space="preserve"> the defence of necessity where such a defence would properly arise on the facts</w:t>
      </w:r>
      <w:r w:rsidR="00635230">
        <w:rPr>
          <w:rFonts w:ascii="Times New Roman" w:eastAsia="Times New Roman" w:hAnsi="Times New Roman" w:cs="Times New Roman"/>
          <w:color w:val="212121"/>
          <w:lang w:eastAsia="en-GB"/>
        </w:rPr>
        <w:t>, i</w:t>
      </w:r>
      <w:r w:rsidR="00B87417" w:rsidRPr="00B87417">
        <w:rPr>
          <w:rFonts w:ascii="Times New Roman" w:eastAsia="Times New Roman" w:hAnsi="Times New Roman" w:cs="Times New Roman"/>
          <w:color w:val="212121"/>
          <w:lang w:eastAsia="en-GB"/>
        </w:rPr>
        <w:t>n the context of the defence of lawful excuse to a charge of criminal damage (pursuant to section</w:t>
      </w:r>
      <w:r w:rsidR="00E817F7">
        <w:rPr>
          <w:rFonts w:ascii="Times New Roman" w:eastAsia="Times New Roman" w:hAnsi="Times New Roman" w:cs="Times New Roman"/>
          <w:color w:val="212121"/>
          <w:lang w:eastAsia="en-GB"/>
        </w:rPr>
        <w:t>s</w:t>
      </w:r>
      <w:r w:rsidR="00B87417" w:rsidRPr="00B87417">
        <w:rPr>
          <w:rFonts w:ascii="Times New Roman" w:eastAsia="Times New Roman" w:hAnsi="Times New Roman" w:cs="Times New Roman"/>
          <w:color w:val="212121"/>
          <w:lang w:eastAsia="en-GB"/>
        </w:rPr>
        <w:t xml:space="preserve"> 2 and 6 of the 1991 Act)</w:t>
      </w:r>
      <w:r w:rsidR="00E817F7">
        <w:rPr>
          <w:rFonts w:ascii="Times New Roman" w:eastAsia="Times New Roman" w:hAnsi="Times New Roman" w:cs="Times New Roman"/>
          <w:color w:val="212121"/>
          <w:lang w:eastAsia="en-GB"/>
        </w:rPr>
        <w:t>,</w:t>
      </w:r>
      <w:r w:rsidR="00B87417" w:rsidRPr="00B87417">
        <w:rPr>
          <w:rFonts w:ascii="Times New Roman" w:eastAsia="Times New Roman" w:hAnsi="Times New Roman" w:cs="Times New Roman"/>
          <w:color w:val="212121"/>
          <w:lang w:eastAsia="en-GB"/>
        </w:rPr>
        <w:t xml:space="preserve"> the latter section specifically states that it does not “</w:t>
      </w:r>
      <w:r w:rsidR="00B87417" w:rsidRPr="00635230">
        <w:rPr>
          <w:rFonts w:ascii="Times New Roman" w:eastAsia="Times New Roman" w:hAnsi="Times New Roman" w:cs="Times New Roman"/>
          <w:i/>
          <w:iCs/>
          <w:color w:val="212121"/>
          <w:lang w:eastAsia="en-GB"/>
        </w:rPr>
        <w:t>cast doubt</w:t>
      </w:r>
      <w:r w:rsidR="00B87417" w:rsidRPr="00B87417">
        <w:rPr>
          <w:rFonts w:ascii="Times New Roman" w:eastAsia="Times New Roman" w:hAnsi="Times New Roman" w:cs="Times New Roman"/>
          <w:color w:val="212121"/>
          <w:lang w:eastAsia="en-GB"/>
        </w:rPr>
        <w:t xml:space="preserve">” on any defence recognised by law. The defence of necessity, whatever about the debates as to its parameters and precise definition, is recognised in law as a defence to a criminal charge. As such the statutory defence of lawful excuse does not </w:t>
      </w:r>
      <w:r w:rsidR="00E817F7">
        <w:rPr>
          <w:rFonts w:ascii="Times New Roman" w:eastAsia="Times New Roman" w:hAnsi="Times New Roman" w:cs="Times New Roman"/>
          <w:color w:val="212121"/>
          <w:lang w:eastAsia="en-GB"/>
        </w:rPr>
        <w:t xml:space="preserve">appear to </w:t>
      </w:r>
      <w:r w:rsidR="00B87417" w:rsidRPr="00B87417">
        <w:rPr>
          <w:rFonts w:ascii="Times New Roman" w:eastAsia="Times New Roman" w:hAnsi="Times New Roman" w:cs="Times New Roman"/>
          <w:color w:val="212121"/>
          <w:lang w:eastAsia="en-GB"/>
        </w:rPr>
        <w:t>supplant necessity</w:t>
      </w:r>
      <w:r w:rsidR="00635230">
        <w:rPr>
          <w:rFonts w:ascii="Times New Roman" w:eastAsia="Times New Roman" w:hAnsi="Times New Roman" w:cs="Times New Roman"/>
          <w:color w:val="212121"/>
          <w:lang w:eastAsia="en-GB"/>
        </w:rPr>
        <w:t xml:space="preserve"> within the context of the offence of criminal damage</w:t>
      </w:r>
      <w:r w:rsidR="00B87417" w:rsidRPr="00B87417">
        <w:rPr>
          <w:rFonts w:ascii="Times New Roman" w:eastAsia="Times New Roman" w:hAnsi="Times New Roman" w:cs="Times New Roman"/>
          <w:color w:val="212121"/>
          <w:lang w:eastAsia="en-GB"/>
        </w:rPr>
        <w:t>.</w:t>
      </w:r>
      <w:r w:rsidR="00C133A1">
        <w:rPr>
          <w:rFonts w:ascii="Times New Roman" w:eastAsia="Times New Roman" w:hAnsi="Times New Roman" w:cs="Times New Roman"/>
          <w:color w:val="212121"/>
          <w:lang w:eastAsia="en-GB"/>
        </w:rPr>
        <w:t xml:space="preserve"> </w:t>
      </w:r>
      <w:r w:rsidR="00B87417" w:rsidRPr="00C133A1">
        <w:rPr>
          <w:rFonts w:ascii="Times New Roman" w:eastAsia="Times New Roman" w:hAnsi="Times New Roman" w:cs="Times New Roman"/>
          <w:color w:val="212121"/>
          <w:lang w:eastAsia="en-GB"/>
        </w:rPr>
        <w:t xml:space="preserve">It appears to </w:t>
      </w:r>
      <w:r w:rsidR="001F3CF1" w:rsidRPr="00C133A1">
        <w:rPr>
          <w:rFonts w:ascii="Times New Roman" w:eastAsia="Times New Roman" w:hAnsi="Times New Roman" w:cs="Times New Roman"/>
          <w:color w:val="212121"/>
          <w:lang w:eastAsia="en-GB"/>
        </w:rPr>
        <w:t>the Commission</w:t>
      </w:r>
      <w:r w:rsidR="00B87417" w:rsidRPr="00C133A1">
        <w:rPr>
          <w:rFonts w:ascii="Times New Roman" w:eastAsia="Times New Roman" w:hAnsi="Times New Roman" w:cs="Times New Roman"/>
          <w:color w:val="212121"/>
          <w:lang w:eastAsia="en-GB"/>
        </w:rPr>
        <w:t xml:space="preserve"> that lawful excuse must include necessity </w:t>
      </w:r>
      <w:proofErr w:type="gramStart"/>
      <w:r w:rsidR="00B87417" w:rsidRPr="00C133A1">
        <w:rPr>
          <w:rFonts w:ascii="Times New Roman" w:eastAsia="Times New Roman" w:hAnsi="Times New Roman" w:cs="Times New Roman"/>
          <w:color w:val="212121"/>
          <w:lang w:eastAsia="en-GB"/>
        </w:rPr>
        <w:t>in order to</w:t>
      </w:r>
      <w:proofErr w:type="gramEnd"/>
      <w:r w:rsidR="00B87417" w:rsidRPr="00C133A1">
        <w:rPr>
          <w:rFonts w:ascii="Times New Roman" w:eastAsia="Times New Roman" w:hAnsi="Times New Roman" w:cs="Times New Roman"/>
          <w:color w:val="212121"/>
          <w:lang w:eastAsia="en-GB"/>
        </w:rPr>
        <w:t xml:space="preserve"> fully encompass the situations in which a person should properly be excused from strict compliance with the law</w:t>
      </w:r>
      <w:r w:rsidR="004B1494" w:rsidRPr="00C133A1">
        <w:rPr>
          <w:rFonts w:ascii="Times New Roman" w:eastAsia="Times New Roman" w:hAnsi="Times New Roman" w:cs="Times New Roman"/>
          <w:color w:val="212121"/>
          <w:lang w:eastAsia="en-GB"/>
        </w:rPr>
        <w:t>; t</w:t>
      </w:r>
      <w:r w:rsidR="00B87417" w:rsidRPr="00C133A1">
        <w:rPr>
          <w:rFonts w:ascii="Times New Roman" w:eastAsia="Times New Roman" w:hAnsi="Times New Roman" w:cs="Times New Roman"/>
          <w:color w:val="212121"/>
          <w:lang w:eastAsia="en-GB"/>
        </w:rPr>
        <w:t>hat it was necessary to undertake a particular action – with reference to properly defined criteria including a proportional relationship between the action undertaken and that obviated.</w:t>
      </w:r>
    </w:p>
    <w:p w14:paraId="76595E9A" w14:textId="77777777" w:rsidR="00A63982" w:rsidRDefault="00A63982" w:rsidP="00824073">
      <w:pPr>
        <w:spacing w:line="360" w:lineRule="auto"/>
        <w:rPr>
          <w:rFonts w:ascii="Times New Roman" w:hAnsi="Times New Roman" w:cs="Times New Roman"/>
          <w:b/>
          <w:bCs/>
          <w:u w:val="single"/>
        </w:rPr>
      </w:pPr>
    </w:p>
    <w:p w14:paraId="2F3AF5E4" w14:textId="7FBE5EBA" w:rsidR="00A63982" w:rsidRPr="00A63982" w:rsidRDefault="00413932" w:rsidP="00A23302">
      <w:pPr>
        <w:pStyle w:val="ListParagraph"/>
        <w:numPr>
          <w:ilvl w:val="0"/>
          <w:numId w:val="1"/>
        </w:numPr>
        <w:spacing w:line="360" w:lineRule="auto"/>
        <w:rPr>
          <w:rFonts w:ascii="Times New Roman" w:hAnsi="Times New Roman" w:cs="Times New Roman"/>
          <w:b/>
          <w:bCs/>
          <w:u w:val="single"/>
        </w:rPr>
      </w:pPr>
      <w:r>
        <w:rPr>
          <w:rFonts w:ascii="Times New Roman" w:hAnsi="Times New Roman" w:cs="Times New Roman"/>
          <w:b/>
          <w:bCs/>
          <w:u w:val="single"/>
        </w:rPr>
        <w:t xml:space="preserve">Additional </w:t>
      </w:r>
      <w:r w:rsidR="00DC1E69">
        <w:rPr>
          <w:rFonts w:ascii="Times New Roman" w:hAnsi="Times New Roman" w:cs="Times New Roman"/>
          <w:b/>
          <w:bCs/>
          <w:u w:val="single"/>
        </w:rPr>
        <w:t xml:space="preserve">Questions </w:t>
      </w:r>
      <w:r w:rsidR="00A003BB">
        <w:rPr>
          <w:rFonts w:ascii="Times New Roman" w:hAnsi="Times New Roman" w:cs="Times New Roman"/>
          <w:b/>
          <w:bCs/>
          <w:u w:val="single"/>
        </w:rPr>
        <w:t>raised</w:t>
      </w:r>
      <w:r w:rsidR="00A63982" w:rsidRPr="00A63982">
        <w:rPr>
          <w:rFonts w:ascii="Times New Roman" w:hAnsi="Times New Roman" w:cs="Times New Roman"/>
          <w:b/>
          <w:bCs/>
          <w:u w:val="single"/>
        </w:rPr>
        <w:t xml:space="preserve"> in the Statement of Case</w:t>
      </w:r>
    </w:p>
    <w:p w14:paraId="399AAABF" w14:textId="77777777" w:rsidR="00A63982" w:rsidRDefault="00A63982" w:rsidP="00824073">
      <w:pPr>
        <w:pStyle w:val="ListParagraph"/>
        <w:spacing w:line="360" w:lineRule="auto"/>
        <w:ind w:left="360"/>
        <w:rPr>
          <w:rFonts w:ascii="Times New Roman" w:hAnsi="Times New Roman" w:cs="Times New Roman"/>
          <w:highlight w:val="green"/>
        </w:rPr>
      </w:pPr>
    </w:p>
    <w:p w14:paraId="24C9D04A" w14:textId="1476CE9A" w:rsidR="00A63982" w:rsidRDefault="00B019C0" w:rsidP="001A70A9">
      <w:pPr>
        <w:pStyle w:val="ListParagraph"/>
        <w:numPr>
          <w:ilvl w:val="0"/>
          <w:numId w:val="1"/>
        </w:numPr>
        <w:spacing w:line="360" w:lineRule="auto"/>
        <w:jc w:val="both"/>
        <w:rPr>
          <w:rFonts w:ascii="Times New Roman" w:hAnsi="Times New Roman" w:cs="Times New Roman"/>
        </w:rPr>
      </w:pPr>
      <w:proofErr w:type="gramStart"/>
      <w:r>
        <w:rPr>
          <w:rFonts w:ascii="Times New Roman" w:hAnsi="Times New Roman" w:cs="Times New Roman"/>
        </w:rPr>
        <w:t>In light of</w:t>
      </w:r>
      <w:proofErr w:type="gramEnd"/>
      <w:r>
        <w:rPr>
          <w:rFonts w:ascii="Times New Roman" w:hAnsi="Times New Roman" w:cs="Times New Roman"/>
        </w:rPr>
        <w:t xml:space="preserve"> </w:t>
      </w:r>
      <w:r w:rsidR="00E817F7">
        <w:rPr>
          <w:rFonts w:ascii="Times New Roman" w:hAnsi="Times New Roman" w:cs="Times New Roman"/>
        </w:rPr>
        <w:t>its role</w:t>
      </w:r>
      <w:r>
        <w:rPr>
          <w:rFonts w:ascii="Times New Roman" w:hAnsi="Times New Roman" w:cs="Times New Roman"/>
        </w:rPr>
        <w:t xml:space="preserve"> as </w:t>
      </w:r>
      <w:r w:rsidR="00E817F7">
        <w:rPr>
          <w:rFonts w:ascii="Times New Roman" w:hAnsi="Times New Roman" w:cs="Times New Roman"/>
          <w:i/>
          <w:iCs/>
        </w:rPr>
        <w:t>a</w:t>
      </w:r>
      <w:r>
        <w:rPr>
          <w:rFonts w:ascii="Times New Roman" w:hAnsi="Times New Roman" w:cs="Times New Roman"/>
          <w:i/>
          <w:iCs/>
        </w:rPr>
        <w:t xml:space="preserve">micus </w:t>
      </w:r>
      <w:r w:rsidR="00E817F7">
        <w:rPr>
          <w:rFonts w:ascii="Times New Roman" w:hAnsi="Times New Roman" w:cs="Times New Roman"/>
          <w:i/>
          <w:iCs/>
        </w:rPr>
        <w:t>c</w:t>
      </w:r>
      <w:r>
        <w:rPr>
          <w:rFonts w:ascii="Times New Roman" w:hAnsi="Times New Roman" w:cs="Times New Roman"/>
          <w:i/>
          <w:iCs/>
        </w:rPr>
        <w:t>uria</w:t>
      </w:r>
      <w:r>
        <w:rPr>
          <w:rFonts w:ascii="Times New Roman" w:hAnsi="Times New Roman" w:cs="Times New Roman"/>
        </w:rPr>
        <w:t>e</w:t>
      </w:r>
      <w:r>
        <w:rPr>
          <w:rFonts w:ascii="Times New Roman" w:hAnsi="Times New Roman" w:cs="Times New Roman"/>
          <w:i/>
          <w:iCs/>
        </w:rPr>
        <w:t xml:space="preserve">, </w:t>
      </w:r>
      <w:r w:rsidR="00E817F7">
        <w:rPr>
          <w:rFonts w:ascii="Times New Roman" w:hAnsi="Times New Roman" w:cs="Times New Roman"/>
        </w:rPr>
        <w:t xml:space="preserve">the Commission thinks it appropriate to </w:t>
      </w:r>
      <w:r w:rsidR="00316763">
        <w:rPr>
          <w:rFonts w:ascii="Times New Roman" w:hAnsi="Times New Roman" w:cs="Times New Roman"/>
        </w:rPr>
        <w:t xml:space="preserve">engage </w:t>
      </w:r>
      <w:r w:rsidR="00E817F7">
        <w:rPr>
          <w:rFonts w:ascii="Times New Roman" w:hAnsi="Times New Roman" w:cs="Times New Roman"/>
        </w:rPr>
        <w:t xml:space="preserve">only on </w:t>
      </w:r>
      <w:r w:rsidR="00316763">
        <w:rPr>
          <w:rFonts w:ascii="Times New Roman" w:hAnsi="Times New Roman" w:cs="Times New Roman"/>
        </w:rPr>
        <w:t xml:space="preserve">the issues upon which </w:t>
      </w:r>
      <w:r w:rsidR="00E817F7">
        <w:rPr>
          <w:rFonts w:ascii="Times New Roman" w:hAnsi="Times New Roman" w:cs="Times New Roman"/>
        </w:rPr>
        <w:t xml:space="preserve">it </w:t>
      </w:r>
      <w:r w:rsidR="00316763">
        <w:rPr>
          <w:rFonts w:ascii="Times New Roman" w:hAnsi="Times New Roman" w:cs="Times New Roman"/>
        </w:rPr>
        <w:t>was granted liberty to appear</w:t>
      </w:r>
      <w:r w:rsidR="00413932">
        <w:rPr>
          <w:rFonts w:ascii="Times New Roman" w:hAnsi="Times New Roman" w:cs="Times New Roman"/>
        </w:rPr>
        <w:t xml:space="preserve">. </w:t>
      </w:r>
      <w:r w:rsidR="00E817F7">
        <w:rPr>
          <w:rFonts w:ascii="Times New Roman" w:hAnsi="Times New Roman" w:cs="Times New Roman"/>
        </w:rPr>
        <w:t>It is hoped that some of t</w:t>
      </w:r>
      <w:r w:rsidR="00413932">
        <w:rPr>
          <w:rFonts w:ascii="Times New Roman" w:hAnsi="Times New Roman" w:cs="Times New Roman"/>
        </w:rPr>
        <w:t xml:space="preserve">hese are addressed </w:t>
      </w:r>
      <w:r w:rsidR="00E817F7">
        <w:rPr>
          <w:rFonts w:ascii="Times New Roman" w:hAnsi="Times New Roman" w:cs="Times New Roman"/>
        </w:rPr>
        <w:t xml:space="preserve">(at least in part) </w:t>
      </w:r>
      <w:r w:rsidR="00413932">
        <w:rPr>
          <w:rFonts w:ascii="Times New Roman" w:hAnsi="Times New Roman" w:cs="Times New Roman"/>
        </w:rPr>
        <w:t>above.</w:t>
      </w:r>
    </w:p>
    <w:p w14:paraId="3AC5C720" w14:textId="77777777" w:rsidR="001A70A9" w:rsidRDefault="001A70A9" w:rsidP="001A70A9">
      <w:pPr>
        <w:pStyle w:val="ListParagraph"/>
        <w:spacing w:line="360" w:lineRule="auto"/>
        <w:ind w:left="644"/>
        <w:jc w:val="both"/>
        <w:rPr>
          <w:rFonts w:ascii="Times New Roman" w:hAnsi="Times New Roman" w:cs="Times New Roman"/>
        </w:rPr>
      </w:pPr>
    </w:p>
    <w:p w14:paraId="0EE4C764" w14:textId="4D8EE42B" w:rsidR="001A70A9" w:rsidRPr="001A70A9" w:rsidRDefault="00E817F7" w:rsidP="001A70A9">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In respect of</w:t>
      </w:r>
      <w:r w:rsidR="007C48CD">
        <w:rPr>
          <w:rFonts w:ascii="Times New Roman" w:hAnsi="Times New Roman" w:cs="Times New Roman"/>
        </w:rPr>
        <w:t xml:space="preserve"> Question 9, which has not been addressed above</w:t>
      </w:r>
      <w:r w:rsidR="00101D2A">
        <w:rPr>
          <w:rFonts w:ascii="Times New Roman" w:hAnsi="Times New Roman" w:cs="Times New Roman"/>
        </w:rPr>
        <w:t xml:space="preserve">, while </w:t>
      </w:r>
      <w:proofErr w:type="gramStart"/>
      <w:r w:rsidR="00101D2A">
        <w:rPr>
          <w:rFonts w:ascii="Times New Roman" w:hAnsi="Times New Roman" w:cs="Times New Roman"/>
        </w:rPr>
        <w:t xml:space="preserve">it </w:t>
      </w:r>
      <w:r w:rsidR="001A70A9" w:rsidRPr="001A70A9">
        <w:rPr>
          <w:rFonts w:ascii="Times New Roman" w:hAnsi="Times New Roman" w:cs="Times New Roman"/>
        </w:rPr>
        <w:t xml:space="preserve">is clear that </w:t>
      </w:r>
      <w:r w:rsidR="00101D2A">
        <w:rPr>
          <w:rFonts w:ascii="Times New Roman" w:hAnsi="Times New Roman" w:cs="Times New Roman"/>
        </w:rPr>
        <w:t>the</w:t>
      </w:r>
      <w:proofErr w:type="gramEnd"/>
      <w:r w:rsidR="00101D2A">
        <w:rPr>
          <w:rFonts w:ascii="Times New Roman" w:hAnsi="Times New Roman" w:cs="Times New Roman"/>
        </w:rPr>
        <w:t xml:space="preserve"> factual background to the </w:t>
      </w:r>
      <w:r w:rsidR="001A70A9" w:rsidRPr="00101D2A">
        <w:rPr>
          <w:rFonts w:ascii="Times New Roman" w:hAnsi="Times New Roman" w:cs="Times New Roman"/>
          <w:b/>
          <w:bCs/>
          <w:i/>
          <w:iCs/>
        </w:rPr>
        <w:t>Ziegler</w:t>
      </w:r>
      <w:r w:rsidR="001A70A9" w:rsidRPr="001A70A9">
        <w:rPr>
          <w:rFonts w:ascii="Times New Roman" w:hAnsi="Times New Roman" w:cs="Times New Roman"/>
          <w:i/>
          <w:iCs/>
        </w:rPr>
        <w:t xml:space="preserve"> </w:t>
      </w:r>
      <w:r w:rsidR="00101D2A" w:rsidRPr="00101D2A">
        <w:rPr>
          <w:rFonts w:ascii="Times New Roman" w:hAnsi="Times New Roman" w:cs="Times New Roman"/>
        </w:rPr>
        <w:t>case</w:t>
      </w:r>
      <w:r w:rsidR="00101D2A">
        <w:rPr>
          <w:rFonts w:ascii="Times New Roman" w:hAnsi="Times New Roman" w:cs="Times New Roman"/>
          <w:i/>
          <w:iCs/>
        </w:rPr>
        <w:t xml:space="preserve"> </w:t>
      </w:r>
      <w:r w:rsidR="001A70A9" w:rsidRPr="001A70A9">
        <w:rPr>
          <w:rFonts w:ascii="Times New Roman" w:hAnsi="Times New Roman" w:cs="Times New Roman"/>
        </w:rPr>
        <w:t>concerned protests on a (public) highway</w:t>
      </w:r>
      <w:r w:rsidR="00101D2A">
        <w:rPr>
          <w:rFonts w:ascii="Times New Roman" w:hAnsi="Times New Roman" w:cs="Times New Roman"/>
        </w:rPr>
        <w:t>,</w:t>
      </w:r>
      <w:r w:rsidR="001A70A9" w:rsidRPr="001A70A9">
        <w:rPr>
          <w:rFonts w:ascii="Times New Roman" w:hAnsi="Times New Roman" w:cs="Times New Roman"/>
        </w:rPr>
        <w:t xml:space="preserve"> the </w:t>
      </w:r>
      <w:r w:rsidR="001A70A9" w:rsidRPr="001A70A9">
        <w:rPr>
          <w:rFonts w:ascii="Times New Roman" w:hAnsi="Times New Roman" w:cs="Times New Roman"/>
        </w:rPr>
        <w:lastRenderedPageBreak/>
        <w:t>first question addressed by the U</w:t>
      </w:r>
      <w:r>
        <w:rPr>
          <w:rFonts w:ascii="Times New Roman" w:hAnsi="Times New Roman" w:cs="Times New Roman"/>
        </w:rPr>
        <w:t>.</w:t>
      </w:r>
      <w:r w:rsidR="001A70A9" w:rsidRPr="001A70A9">
        <w:rPr>
          <w:rFonts w:ascii="Times New Roman" w:hAnsi="Times New Roman" w:cs="Times New Roman"/>
        </w:rPr>
        <w:t>K</w:t>
      </w:r>
      <w:r>
        <w:rPr>
          <w:rFonts w:ascii="Times New Roman" w:hAnsi="Times New Roman" w:cs="Times New Roman"/>
        </w:rPr>
        <w:t>.</w:t>
      </w:r>
      <w:r w:rsidR="001A70A9" w:rsidRPr="001A70A9">
        <w:rPr>
          <w:rFonts w:ascii="Times New Roman" w:hAnsi="Times New Roman" w:cs="Times New Roman"/>
        </w:rPr>
        <w:t xml:space="preserve"> Supreme Court in that case, as certified by the Divisional Court, was:</w:t>
      </w:r>
    </w:p>
    <w:p w14:paraId="50994314" w14:textId="77777777" w:rsidR="00E817F7" w:rsidRDefault="00E817F7" w:rsidP="001A70A9">
      <w:pPr>
        <w:pStyle w:val="ListParagraph"/>
        <w:spacing w:line="360" w:lineRule="auto"/>
        <w:ind w:left="1440"/>
        <w:jc w:val="both"/>
        <w:rPr>
          <w:rFonts w:ascii="Times New Roman" w:hAnsi="Times New Roman" w:cs="Times New Roman"/>
          <w:i/>
          <w:iCs/>
        </w:rPr>
      </w:pPr>
    </w:p>
    <w:p w14:paraId="79C1F601" w14:textId="7DD43243" w:rsidR="001A70A9" w:rsidRPr="00C133A1" w:rsidRDefault="001A70A9" w:rsidP="00C133A1">
      <w:pPr>
        <w:spacing w:line="360" w:lineRule="auto"/>
        <w:ind w:left="644"/>
        <w:jc w:val="both"/>
        <w:rPr>
          <w:rFonts w:ascii="Times New Roman" w:hAnsi="Times New Roman" w:cs="Times New Roman"/>
          <w:i/>
          <w:iCs/>
        </w:rPr>
      </w:pPr>
      <w:r w:rsidRPr="00C133A1">
        <w:rPr>
          <w:rFonts w:ascii="Times New Roman" w:hAnsi="Times New Roman" w:cs="Times New Roman"/>
          <w:i/>
          <w:iCs/>
        </w:rPr>
        <w:t>“What is the test to be applied by an appellate court to an assessment of the decision of the trial court in respect of a statutory defence of ‘lawful excuse’ when Convention rights are engaged in a criminal matter?”</w:t>
      </w:r>
      <w:r w:rsidRPr="00E817F7">
        <w:rPr>
          <w:vertAlign w:val="superscript"/>
        </w:rPr>
        <w:footnoteReference w:id="22"/>
      </w:r>
    </w:p>
    <w:p w14:paraId="21078AC9" w14:textId="77777777" w:rsidR="001A70A9" w:rsidRPr="001A70A9" w:rsidRDefault="001A70A9" w:rsidP="001A70A9">
      <w:pPr>
        <w:spacing w:line="360" w:lineRule="auto"/>
        <w:jc w:val="both"/>
        <w:rPr>
          <w:rFonts w:ascii="Times New Roman" w:hAnsi="Times New Roman" w:cs="Times New Roman"/>
        </w:rPr>
      </w:pPr>
    </w:p>
    <w:p w14:paraId="3964159D" w14:textId="75A93FEB" w:rsidR="001A70A9" w:rsidRPr="001A70A9" w:rsidRDefault="001A70A9" w:rsidP="001A70A9">
      <w:pPr>
        <w:pStyle w:val="ListParagraph"/>
        <w:numPr>
          <w:ilvl w:val="0"/>
          <w:numId w:val="1"/>
        </w:numPr>
        <w:spacing w:line="360" w:lineRule="auto"/>
        <w:jc w:val="both"/>
        <w:rPr>
          <w:rFonts w:ascii="Times New Roman" w:hAnsi="Times New Roman" w:cs="Times New Roman"/>
        </w:rPr>
      </w:pPr>
      <w:r w:rsidRPr="001A70A9">
        <w:rPr>
          <w:rFonts w:ascii="Times New Roman" w:hAnsi="Times New Roman" w:cs="Times New Roman"/>
        </w:rPr>
        <w:t>This is clearly not, in its terms, limited to protests on the highway but is far more broadly framed.</w:t>
      </w:r>
      <w:r w:rsidRPr="001A70A9">
        <w:rPr>
          <w:rFonts w:ascii="Times New Roman" w:hAnsi="Times New Roman" w:cs="Times New Roman"/>
          <w:vertAlign w:val="superscript"/>
        </w:rPr>
        <w:footnoteReference w:id="23"/>
      </w:r>
      <w:r w:rsidRPr="001A70A9">
        <w:rPr>
          <w:rFonts w:ascii="Times New Roman" w:hAnsi="Times New Roman" w:cs="Times New Roman"/>
        </w:rPr>
        <w:t xml:space="preserve"> </w:t>
      </w:r>
    </w:p>
    <w:p w14:paraId="4F9E04A5" w14:textId="77777777" w:rsidR="001A70A9" w:rsidRPr="001A70A9" w:rsidRDefault="001A70A9" w:rsidP="00101D2A">
      <w:pPr>
        <w:pStyle w:val="ListParagraph"/>
        <w:spacing w:line="360" w:lineRule="auto"/>
        <w:ind w:left="644"/>
        <w:jc w:val="both"/>
        <w:rPr>
          <w:rFonts w:ascii="Times New Roman" w:hAnsi="Times New Roman" w:cs="Times New Roman"/>
        </w:rPr>
      </w:pPr>
    </w:p>
    <w:p w14:paraId="7C251B42" w14:textId="3B29FE14" w:rsidR="001A70A9" w:rsidRPr="001A70A9" w:rsidRDefault="001A70A9" w:rsidP="001A70A9">
      <w:pPr>
        <w:pStyle w:val="ListParagraph"/>
        <w:numPr>
          <w:ilvl w:val="0"/>
          <w:numId w:val="1"/>
        </w:numPr>
        <w:spacing w:line="360" w:lineRule="auto"/>
        <w:jc w:val="both"/>
        <w:rPr>
          <w:rFonts w:ascii="Times New Roman" w:hAnsi="Times New Roman" w:cs="Times New Roman"/>
        </w:rPr>
      </w:pPr>
      <w:r w:rsidRPr="001A70A9">
        <w:rPr>
          <w:rFonts w:ascii="Times New Roman" w:hAnsi="Times New Roman" w:cs="Times New Roman"/>
        </w:rPr>
        <w:t xml:space="preserve">As referred to in the Statement of Case, the Court in </w:t>
      </w:r>
      <w:r w:rsidRPr="001A70A9">
        <w:rPr>
          <w:rFonts w:ascii="Times New Roman" w:hAnsi="Times New Roman" w:cs="Times New Roman"/>
          <w:b/>
          <w:bCs/>
          <w:i/>
          <w:iCs/>
        </w:rPr>
        <w:t>Ziegler</w:t>
      </w:r>
      <w:r w:rsidRPr="001A70A9">
        <w:rPr>
          <w:rFonts w:ascii="Times New Roman" w:hAnsi="Times New Roman" w:cs="Times New Roman"/>
        </w:rPr>
        <w:t xml:space="preserve"> held that the necessary proportionality analysis entailed consideration of, </w:t>
      </w:r>
      <w:r w:rsidRPr="00E817F7">
        <w:rPr>
          <w:rFonts w:ascii="Times New Roman" w:hAnsi="Times New Roman" w:cs="Times New Roman"/>
        </w:rPr>
        <w:t>inter alia</w:t>
      </w:r>
      <w:r w:rsidRPr="001A70A9">
        <w:rPr>
          <w:rFonts w:ascii="Times New Roman" w:hAnsi="Times New Roman" w:cs="Times New Roman"/>
        </w:rPr>
        <w:t>, “</w:t>
      </w:r>
      <w:r w:rsidRPr="00E817F7">
        <w:rPr>
          <w:rFonts w:ascii="Times New Roman" w:hAnsi="Times New Roman" w:cs="Times New Roman"/>
          <w:i/>
          <w:iCs/>
        </w:rPr>
        <w:t xml:space="preserve">the precise location to the protesters, the duration of the protest, the degree to which the protesters occupy the land, and the extent of the actual interference the protest causes to the rights of others, including </w:t>
      </w:r>
      <w:r w:rsidRPr="00E817F7">
        <w:rPr>
          <w:rFonts w:ascii="Times New Roman" w:hAnsi="Times New Roman" w:cs="Times New Roman"/>
          <w:i/>
          <w:iCs/>
          <w:u w:val="single"/>
        </w:rPr>
        <w:t>the property rights of the owners of the land</w:t>
      </w:r>
      <w:r w:rsidRPr="00E817F7">
        <w:rPr>
          <w:rFonts w:ascii="Times New Roman" w:hAnsi="Times New Roman" w:cs="Times New Roman"/>
          <w:i/>
          <w:iCs/>
        </w:rPr>
        <w:t>, and the rights of any members of the public</w:t>
      </w:r>
      <w:r w:rsidRPr="001A70A9">
        <w:rPr>
          <w:rFonts w:ascii="Times New Roman" w:hAnsi="Times New Roman" w:cs="Times New Roman"/>
        </w:rPr>
        <w:t>” (emphasis added). This is suggestive of a broader approach than simply public spaces or roadways, and</w:t>
      </w:r>
      <w:r w:rsidR="00E817F7">
        <w:rPr>
          <w:rFonts w:ascii="Times New Roman" w:hAnsi="Times New Roman" w:cs="Times New Roman"/>
        </w:rPr>
        <w:t>,</w:t>
      </w:r>
      <w:r w:rsidRPr="001A70A9">
        <w:rPr>
          <w:rFonts w:ascii="Times New Roman" w:hAnsi="Times New Roman" w:cs="Times New Roman"/>
        </w:rPr>
        <w:t xml:space="preserve"> rather</w:t>
      </w:r>
      <w:r w:rsidR="00E817F7">
        <w:rPr>
          <w:rFonts w:ascii="Times New Roman" w:hAnsi="Times New Roman" w:cs="Times New Roman"/>
        </w:rPr>
        <w:t>, that it might</w:t>
      </w:r>
      <w:r w:rsidRPr="001A70A9">
        <w:rPr>
          <w:rFonts w:ascii="Times New Roman" w:hAnsi="Times New Roman" w:cs="Times New Roman"/>
        </w:rPr>
        <w:t xml:space="preserve"> </w:t>
      </w:r>
      <w:r w:rsidR="00A73F95" w:rsidRPr="001A70A9">
        <w:rPr>
          <w:rFonts w:ascii="Times New Roman" w:hAnsi="Times New Roman" w:cs="Times New Roman"/>
        </w:rPr>
        <w:t>encompass</w:t>
      </w:r>
      <w:r w:rsidRPr="001A70A9">
        <w:rPr>
          <w:rFonts w:ascii="Times New Roman" w:hAnsi="Times New Roman" w:cs="Times New Roman"/>
        </w:rPr>
        <w:t xml:space="preserve"> protests on land owned by others. </w:t>
      </w:r>
    </w:p>
    <w:p w14:paraId="3693B3B4" w14:textId="77777777" w:rsidR="001A70A9" w:rsidRPr="001A70A9" w:rsidRDefault="001A70A9" w:rsidP="0084336D">
      <w:pPr>
        <w:pStyle w:val="ListParagraph"/>
        <w:spacing w:line="360" w:lineRule="auto"/>
        <w:ind w:left="644"/>
        <w:jc w:val="both"/>
        <w:rPr>
          <w:rFonts w:ascii="Times New Roman" w:hAnsi="Times New Roman" w:cs="Times New Roman"/>
        </w:rPr>
      </w:pPr>
    </w:p>
    <w:p w14:paraId="5B61DC7A" w14:textId="6C702AC7" w:rsidR="001A70A9" w:rsidRPr="001A70A9" w:rsidRDefault="00E817F7" w:rsidP="001A70A9">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w:t>
      </w:r>
      <w:r w:rsidR="001A70A9" w:rsidRPr="001A70A9">
        <w:rPr>
          <w:rFonts w:ascii="Times New Roman" w:hAnsi="Times New Roman" w:cs="Times New Roman"/>
        </w:rPr>
        <w:t xml:space="preserve">ny suggestion that </w:t>
      </w:r>
      <w:r>
        <w:rPr>
          <w:rFonts w:ascii="Times New Roman" w:hAnsi="Times New Roman" w:cs="Times New Roman"/>
        </w:rPr>
        <w:t xml:space="preserve">there is </w:t>
      </w:r>
      <w:r w:rsidR="001A70A9" w:rsidRPr="001A70A9">
        <w:rPr>
          <w:rFonts w:ascii="Times New Roman" w:hAnsi="Times New Roman" w:cs="Times New Roman"/>
        </w:rPr>
        <w:t xml:space="preserve">no clear </w:t>
      </w:r>
      <w:r>
        <w:rPr>
          <w:rFonts w:ascii="Times New Roman" w:hAnsi="Times New Roman" w:cs="Times New Roman"/>
        </w:rPr>
        <w:t xml:space="preserve">ECtHR </w:t>
      </w:r>
      <w:r w:rsidR="001A70A9" w:rsidRPr="001A70A9">
        <w:rPr>
          <w:rFonts w:ascii="Times New Roman" w:hAnsi="Times New Roman" w:cs="Times New Roman"/>
        </w:rPr>
        <w:t xml:space="preserve">jurisprudence </w:t>
      </w:r>
      <w:r>
        <w:rPr>
          <w:rFonts w:ascii="Times New Roman" w:hAnsi="Times New Roman" w:cs="Times New Roman"/>
        </w:rPr>
        <w:t xml:space="preserve">which </w:t>
      </w:r>
      <w:r w:rsidR="001A70A9" w:rsidRPr="001A70A9">
        <w:rPr>
          <w:rFonts w:ascii="Times New Roman" w:hAnsi="Times New Roman" w:cs="Times New Roman"/>
        </w:rPr>
        <w:t xml:space="preserve">suggests that damaging private property attracts </w:t>
      </w:r>
      <w:r>
        <w:rPr>
          <w:rFonts w:ascii="Times New Roman" w:hAnsi="Times New Roman" w:cs="Times New Roman"/>
        </w:rPr>
        <w:t>E</w:t>
      </w:r>
      <w:r w:rsidR="001A70A9" w:rsidRPr="001A70A9">
        <w:rPr>
          <w:rFonts w:ascii="Times New Roman" w:hAnsi="Times New Roman" w:cs="Times New Roman"/>
        </w:rPr>
        <w:t>C</w:t>
      </w:r>
      <w:r>
        <w:rPr>
          <w:rFonts w:ascii="Times New Roman" w:hAnsi="Times New Roman" w:cs="Times New Roman"/>
        </w:rPr>
        <w:t>HR</w:t>
      </w:r>
      <w:r w:rsidR="001A70A9" w:rsidRPr="001A70A9">
        <w:rPr>
          <w:rFonts w:ascii="Times New Roman" w:hAnsi="Times New Roman" w:cs="Times New Roman"/>
          <w:vertAlign w:val="superscript"/>
        </w:rPr>
        <w:footnoteReference w:id="24"/>
      </w:r>
      <w:r w:rsidR="001A70A9" w:rsidRPr="001A70A9">
        <w:rPr>
          <w:rFonts w:ascii="Times New Roman" w:hAnsi="Times New Roman" w:cs="Times New Roman"/>
        </w:rPr>
        <w:t xml:space="preserve"> must be assessed against the statue cases of </w:t>
      </w:r>
      <w:r w:rsidR="001A70A9" w:rsidRPr="001A70A9">
        <w:rPr>
          <w:rFonts w:ascii="Times New Roman" w:hAnsi="Times New Roman" w:cs="Times New Roman"/>
          <w:b/>
          <w:bCs/>
          <w:i/>
          <w:iCs/>
        </w:rPr>
        <w:t>Murat Vural v Turkey</w:t>
      </w:r>
      <w:r w:rsidR="001A70A9" w:rsidRPr="001A70A9">
        <w:rPr>
          <w:rFonts w:ascii="Times New Roman" w:hAnsi="Times New Roman" w:cs="Times New Roman"/>
          <w:b/>
          <w:bCs/>
        </w:rPr>
        <w:t xml:space="preserve"> </w:t>
      </w:r>
      <w:r w:rsidR="001A70A9" w:rsidRPr="00E817F7">
        <w:rPr>
          <w:rFonts w:ascii="Times New Roman" w:hAnsi="Times New Roman" w:cs="Times New Roman"/>
        </w:rPr>
        <w:t>and</w:t>
      </w:r>
      <w:r w:rsidR="001A70A9" w:rsidRPr="001A70A9">
        <w:rPr>
          <w:rFonts w:ascii="Times New Roman" w:hAnsi="Times New Roman" w:cs="Times New Roman"/>
          <w:b/>
          <w:bCs/>
        </w:rPr>
        <w:t xml:space="preserve"> </w:t>
      </w:r>
      <w:proofErr w:type="spellStart"/>
      <w:r w:rsidR="001A70A9" w:rsidRPr="001A70A9">
        <w:rPr>
          <w:rFonts w:ascii="Times New Roman" w:hAnsi="Times New Roman" w:cs="Times New Roman"/>
          <w:b/>
          <w:bCs/>
          <w:i/>
          <w:iCs/>
        </w:rPr>
        <w:t>Handzhiyski</w:t>
      </w:r>
      <w:proofErr w:type="spellEnd"/>
      <w:r w:rsidR="001A70A9" w:rsidRPr="001A70A9">
        <w:rPr>
          <w:rFonts w:ascii="Times New Roman" w:hAnsi="Times New Roman" w:cs="Times New Roman"/>
          <w:b/>
          <w:bCs/>
          <w:i/>
          <w:iCs/>
        </w:rPr>
        <w:t xml:space="preserve"> v Bulgaria</w:t>
      </w:r>
      <w:r w:rsidR="001A70A9" w:rsidRPr="001A70A9">
        <w:rPr>
          <w:rFonts w:ascii="Times New Roman" w:hAnsi="Times New Roman" w:cs="Times New Roman"/>
        </w:rPr>
        <w:t>.</w:t>
      </w:r>
      <w:r w:rsidR="001A70A9" w:rsidRPr="001A70A9">
        <w:rPr>
          <w:rFonts w:ascii="Times New Roman" w:hAnsi="Times New Roman" w:cs="Times New Roman"/>
          <w:vertAlign w:val="superscript"/>
        </w:rPr>
        <w:footnoteReference w:id="25"/>
      </w:r>
      <w:r w:rsidR="001A70A9" w:rsidRPr="001A70A9">
        <w:rPr>
          <w:rFonts w:ascii="Times New Roman" w:hAnsi="Times New Roman" w:cs="Times New Roman"/>
        </w:rPr>
        <w:t xml:space="preserve"> </w:t>
      </w:r>
    </w:p>
    <w:p w14:paraId="5454173A" w14:textId="77777777" w:rsidR="001A70A9" w:rsidRPr="001A70A9" w:rsidRDefault="001A70A9" w:rsidP="0084336D">
      <w:pPr>
        <w:pStyle w:val="ListParagraph"/>
        <w:spacing w:line="360" w:lineRule="auto"/>
        <w:ind w:left="644"/>
        <w:jc w:val="both"/>
        <w:rPr>
          <w:rFonts w:ascii="Times New Roman" w:hAnsi="Times New Roman" w:cs="Times New Roman"/>
        </w:rPr>
      </w:pPr>
    </w:p>
    <w:p w14:paraId="390BDCEB" w14:textId="7D81AF5D" w:rsidR="001A70A9" w:rsidRPr="001A70A9" w:rsidRDefault="001A70A9" w:rsidP="001A70A9">
      <w:pPr>
        <w:pStyle w:val="ListParagraph"/>
        <w:numPr>
          <w:ilvl w:val="0"/>
          <w:numId w:val="1"/>
        </w:numPr>
        <w:spacing w:line="360" w:lineRule="auto"/>
        <w:jc w:val="both"/>
        <w:rPr>
          <w:rFonts w:ascii="Times New Roman" w:hAnsi="Times New Roman" w:cs="Times New Roman"/>
        </w:rPr>
      </w:pPr>
      <w:r w:rsidRPr="001A70A9">
        <w:rPr>
          <w:rFonts w:ascii="Times New Roman" w:hAnsi="Times New Roman" w:cs="Times New Roman"/>
        </w:rPr>
        <w:t>In this regard, a distinction is to be drawn between what might be termed the procedural obligations on domestic authorities in relation to ECHR rights a</w:t>
      </w:r>
      <w:r w:rsidR="00E817F7">
        <w:rPr>
          <w:rFonts w:ascii="Times New Roman" w:hAnsi="Times New Roman" w:cs="Times New Roman"/>
        </w:rPr>
        <w:t xml:space="preserve">s against </w:t>
      </w:r>
      <w:r w:rsidRPr="001A70A9">
        <w:rPr>
          <w:rFonts w:ascii="Times New Roman" w:hAnsi="Times New Roman" w:cs="Times New Roman"/>
        </w:rPr>
        <w:t xml:space="preserve">any broader proposition of a positive right to protest on privately owned land or on publicly owned </w:t>
      </w:r>
      <w:r w:rsidRPr="001A70A9">
        <w:rPr>
          <w:rFonts w:ascii="Times New Roman" w:hAnsi="Times New Roman" w:cs="Times New Roman"/>
        </w:rPr>
        <w:lastRenderedPageBreak/>
        <w:t xml:space="preserve">land from which the public are excluded, with corresponding duties, which the </w:t>
      </w:r>
      <w:r w:rsidR="00E817F7">
        <w:rPr>
          <w:rFonts w:ascii="Times New Roman" w:hAnsi="Times New Roman" w:cs="Times New Roman"/>
        </w:rPr>
        <w:t>DPP</w:t>
      </w:r>
      <w:r w:rsidRPr="001A70A9">
        <w:rPr>
          <w:rFonts w:ascii="Times New Roman" w:hAnsi="Times New Roman" w:cs="Times New Roman"/>
        </w:rPr>
        <w:t xml:space="preserve"> states does not arise from the ECHR jurisprudence.</w:t>
      </w:r>
      <w:r w:rsidRPr="001A70A9">
        <w:rPr>
          <w:rFonts w:ascii="Times New Roman" w:hAnsi="Times New Roman" w:cs="Times New Roman"/>
          <w:vertAlign w:val="superscript"/>
        </w:rPr>
        <w:footnoteReference w:id="26"/>
      </w:r>
      <w:r w:rsidRPr="001A70A9">
        <w:rPr>
          <w:rFonts w:ascii="Times New Roman" w:hAnsi="Times New Roman" w:cs="Times New Roman"/>
        </w:rPr>
        <w:t xml:space="preserve"> The Commission emphasises the former</w:t>
      </w:r>
      <w:r w:rsidR="00E06DFF">
        <w:rPr>
          <w:rFonts w:ascii="Times New Roman" w:hAnsi="Times New Roman" w:cs="Times New Roman"/>
        </w:rPr>
        <w:t>; i</w:t>
      </w:r>
      <w:r w:rsidRPr="001A70A9">
        <w:rPr>
          <w:rFonts w:ascii="Times New Roman" w:hAnsi="Times New Roman" w:cs="Times New Roman"/>
        </w:rPr>
        <w:t xml:space="preserve">t is not that the </w:t>
      </w:r>
      <w:r w:rsidR="00E06DFF">
        <w:rPr>
          <w:rFonts w:ascii="Times New Roman" w:hAnsi="Times New Roman" w:cs="Times New Roman"/>
        </w:rPr>
        <w:t>A</w:t>
      </w:r>
      <w:r w:rsidRPr="001A70A9">
        <w:rPr>
          <w:rFonts w:ascii="Times New Roman" w:hAnsi="Times New Roman" w:cs="Times New Roman"/>
        </w:rPr>
        <w:t>ppellant’s conviction for trespass is, in itself, a violation of Article 10 and 11 rights (or that a prosecution and conviction would always be disproportionate), but rather that a failure to consider or weigh such rights</w:t>
      </w:r>
      <w:r w:rsidR="00E817F7">
        <w:rPr>
          <w:rFonts w:ascii="Times New Roman" w:hAnsi="Times New Roman" w:cs="Times New Roman"/>
        </w:rPr>
        <w:t>, primarily as they are protected by Article 40.6 of the Constitution</w:t>
      </w:r>
      <w:r w:rsidRPr="001A70A9">
        <w:rPr>
          <w:rFonts w:ascii="Times New Roman" w:hAnsi="Times New Roman" w:cs="Times New Roman"/>
        </w:rPr>
        <w:t>, and direct the jury in th</w:t>
      </w:r>
      <w:r w:rsidR="00E817F7">
        <w:rPr>
          <w:rFonts w:ascii="Times New Roman" w:hAnsi="Times New Roman" w:cs="Times New Roman"/>
        </w:rPr>
        <w:t>at</w:t>
      </w:r>
      <w:r w:rsidRPr="001A70A9">
        <w:rPr>
          <w:rFonts w:ascii="Times New Roman" w:hAnsi="Times New Roman" w:cs="Times New Roman"/>
        </w:rPr>
        <w:t xml:space="preserve"> regard, constitutes the violation. </w:t>
      </w:r>
    </w:p>
    <w:p w14:paraId="1726FCD7" w14:textId="77777777" w:rsidR="001A70A9" w:rsidRPr="001A70A9" w:rsidRDefault="001A70A9" w:rsidP="00A70C2A">
      <w:pPr>
        <w:pStyle w:val="ListParagraph"/>
        <w:spacing w:line="360" w:lineRule="auto"/>
        <w:ind w:left="644"/>
        <w:jc w:val="both"/>
        <w:rPr>
          <w:rFonts w:ascii="Times New Roman" w:hAnsi="Times New Roman" w:cs="Times New Roman"/>
        </w:rPr>
      </w:pPr>
    </w:p>
    <w:p w14:paraId="4DBE72EF" w14:textId="1F92D5D2" w:rsidR="001A70A9" w:rsidRPr="001A70A9" w:rsidRDefault="001A70A9" w:rsidP="001A70A9">
      <w:pPr>
        <w:pStyle w:val="ListParagraph"/>
        <w:numPr>
          <w:ilvl w:val="0"/>
          <w:numId w:val="1"/>
        </w:numPr>
        <w:spacing w:line="360" w:lineRule="auto"/>
        <w:jc w:val="both"/>
        <w:rPr>
          <w:rFonts w:ascii="Times New Roman" w:hAnsi="Times New Roman" w:cs="Times New Roman"/>
        </w:rPr>
      </w:pPr>
      <w:r w:rsidRPr="001A70A9">
        <w:rPr>
          <w:rFonts w:ascii="Times New Roman" w:hAnsi="Times New Roman" w:cs="Times New Roman"/>
        </w:rPr>
        <w:t xml:space="preserve">On that basis, the Commission </w:t>
      </w:r>
      <w:r w:rsidR="002D7D31">
        <w:rPr>
          <w:rFonts w:ascii="Times New Roman" w:hAnsi="Times New Roman" w:cs="Times New Roman"/>
        </w:rPr>
        <w:t>submits that</w:t>
      </w:r>
      <w:r w:rsidRPr="001A70A9">
        <w:rPr>
          <w:rFonts w:ascii="Times New Roman" w:hAnsi="Times New Roman" w:cs="Times New Roman"/>
        </w:rPr>
        <w:t xml:space="preserve"> the notion of “shared space”, though a feature of </w:t>
      </w:r>
      <w:r w:rsidRPr="001A70A9">
        <w:rPr>
          <w:rFonts w:ascii="Times New Roman" w:hAnsi="Times New Roman" w:cs="Times New Roman"/>
          <w:b/>
          <w:bCs/>
          <w:i/>
          <w:iCs/>
        </w:rPr>
        <w:t>Ziegler</w:t>
      </w:r>
      <w:r w:rsidRPr="001A70A9">
        <w:rPr>
          <w:rFonts w:ascii="Times New Roman" w:hAnsi="Times New Roman" w:cs="Times New Roman"/>
        </w:rPr>
        <w:t xml:space="preserve">, is not </w:t>
      </w:r>
      <w:proofErr w:type="gramStart"/>
      <w:r w:rsidRPr="001A70A9">
        <w:rPr>
          <w:rFonts w:ascii="Times New Roman" w:hAnsi="Times New Roman" w:cs="Times New Roman"/>
        </w:rPr>
        <w:t>a necessary prerequisite</w:t>
      </w:r>
      <w:proofErr w:type="gramEnd"/>
      <w:r w:rsidR="00DB56CB">
        <w:rPr>
          <w:rFonts w:ascii="Times New Roman" w:hAnsi="Times New Roman" w:cs="Times New Roman"/>
        </w:rPr>
        <w:t xml:space="preserve"> and that the ECHR case law is of </w:t>
      </w:r>
      <w:r w:rsidR="00E817F7">
        <w:rPr>
          <w:rFonts w:ascii="Times New Roman" w:hAnsi="Times New Roman" w:cs="Times New Roman"/>
        </w:rPr>
        <w:t xml:space="preserve">some </w:t>
      </w:r>
      <w:r w:rsidR="00DB56CB">
        <w:rPr>
          <w:rFonts w:ascii="Times New Roman" w:hAnsi="Times New Roman" w:cs="Times New Roman"/>
        </w:rPr>
        <w:t xml:space="preserve">assistance in assessing this </w:t>
      </w:r>
      <w:proofErr w:type="gramStart"/>
      <w:r w:rsidR="00DB56CB">
        <w:rPr>
          <w:rFonts w:ascii="Times New Roman" w:hAnsi="Times New Roman" w:cs="Times New Roman"/>
        </w:rPr>
        <w:t>question</w:t>
      </w:r>
      <w:r w:rsidR="00E817F7">
        <w:rPr>
          <w:rFonts w:ascii="Times New Roman" w:hAnsi="Times New Roman" w:cs="Times New Roman"/>
        </w:rPr>
        <w:t>, and</w:t>
      </w:r>
      <w:proofErr w:type="gramEnd"/>
      <w:r w:rsidR="00E817F7">
        <w:rPr>
          <w:rFonts w:ascii="Times New Roman" w:hAnsi="Times New Roman" w:cs="Times New Roman"/>
        </w:rPr>
        <w:t xml:space="preserve"> may yet develop in the future</w:t>
      </w:r>
      <w:r w:rsidR="00DB56CB">
        <w:rPr>
          <w:rFonts w:ascii="Times New Roman" w:hAnsi="Times New Roman" w:cs="Times New Roman"/>
        </w:rPr>
        <w:t>.</w:t>
      </w:r>
    </w:p>
    <w:p w14:paraId="07D2B0CF" w14:textId="77777777" w:rsidR="008E3140" w:rsidRDefault="008E3140" w:rsidP="00824073">
      <w:pPr>
        <w:spacing w:line="360" w:lineRule="auto"/>
        <w:jc w:val="both"/>
        <w:rPr>
          <w:rFonts w:ascii="Times New Roman" w:eastAsia="Times New Roman" w:hAnsi="Times New Roman" w:cs="Times New Roman"/>
          <w:b/>
          <w:bCs/>
          <w:lang w:eastAsia="en-GB"/>
        </w:rPr>
      </w:pPr>
    </w:p>
    <w:p w14:paraId="389C0FFE" w14:textId="5CBBF3B1" w:rsidR="008C25EF" w:rsidRPr="008E3140" w:rsidRDefault="00DB532E" w:rsidP="00A23302">
      <w:pPr>
        <w:pStyle w:val="ListParagraph"/>
        <w:numPr>
          <w:ilvl w:val="0"/>
          <w:numId w:val="1"/>
        </w:numPr>
        <w:spacing w:line="360" w:lineRule="auto"/>
        <w:jc w:val="both"/>
        <w:rPr>
          <w:rFonts w:ascii="Times New Roman" w:eastAsia="Times New Roman" w:hAnsi="Times New Roman" w:cs="Times New Roman"/>
          <w:i/>
          <w:iCs/>
          <w:color w:val="212121"/>
          <w:u w:val="single"/>
          <w:lang w:eastAsia="en-GB"/>
        </w:rPr>
      </w:pPr>
      <w:r w:rsidRPr="008E3140">
        <w:rPr>
          <w:rFonts w:ascii="Times New Roman" w:eastAsia="Times New Roman" w:hAnsi="Times New Roman" w:cs="Times New Roman"/>
          <w:b/>
          <w:bCs/>
          <w:u w:val="single"/>
          <w:lang w:eastAsia="en-GB"/>
        </w:rPr>
        <w:t xml:space="preserve">Conclusions </w:t>
      </w:r>
    </w:p>
    <w:p w14:paraId="5074DBF0" w14:textId="00D4196D" w:rsidR="001B64D7" w:rsidRDefault="001B64D7" w:rsidP="00824073">
      <w:pPr>
        <w:spacing w:line="360" w:lineRule="auto"/>
        <w:jc w:val="both"/>
        <w:rPr>
          <w:rFonts w:ascii="Times New Roman" w:hAnsi="Times New Roman" w:cs="Times New Roman"/>
        </w:rPr>
      </w:pPr>
    </w:p>
    <w:p w14:paraId="4B233DEA" w14:textId="6A52BA0A" w:rsidR="00375C9F" w:rsidRPr="00CC4448" w:rsidRDefault="00C857DB" w:rsidP="00CC4448">
      <w:pPr>
        <w:pStyle w:val="ListParagraph"/>
        <w:numPr>
          <w:ilvl w:val="0"/>
          <w:numId w:val="1"/>
        </w:numPr>
        <w:spacing w:line="360" w:lineRule="auto"/>
        <w:jc w:val="both"/>
        <w:rPr>
          <w:rFonts w:ascii="Times New Roman" w:hAnsi="Times New Roman" w:cs="Times New Roman"/>
        </w:rPr>
      </w:pPr>
      <w:r w:rsidRPr="00375C9F">
        <w:rPr>
          <w:rFonts w:ascii="Times New Roman" w:hAnsi="Times New Roman" w:cs="Times New Roman"/>
        </w:rPr>
        <w:t xml:space="preserve">The present Appeal raises significant issues regarding the </w:t>
      </w:r>
      <w:r w:rsidR="00556B0A" w:rsidRPr="00375C9F">
        <w:rPr>
          <w:rFonts w:ascii="Times New Roman" w:hAnsi="Times New Roman" w:cs="Times New Roman"/>
        </w:rPr>
        <w:t xml:space="preserve">parameters of the defence of necessity and its relationship with acts of protest/civil disobedience. </w:t>
      </w:r>
      <w:r w:rsidR="006E2BE2" w:rsidRPr="00375C9F">
        <w:rPr>
          <w:rFonts w:ascii="Times New Roman" w:hAnsi="Times New Roman" w:cs="Times New Roman"/>
        </w:rPr>
        <w:t>It is the Commission’s respectful submission that where an individual is engaged in a</w:t>
      </w:r>
      <w:r w:rsidR="00594B81" w:rsidRPr="00375C9F">
        <w:rPr>
          <w:rFonts w:ascii="Times New Roman" w:hAnsi="Times New Roman" w:cs="Times New Roman"/>
        </w:rPr>
        <w:t xml:space="preserve"> genuine</w:t>
      </w:r>
      <w:r w:rsidR="006E2BE2" w:rsidRPr="00375C9F">
        <w:rPr>
          <w:rFonts w:ascii="Times New Roman" w:hAnsi="Times New Roman" w:cs="Times New Roman"/>
        </w:rPr>
        <w:t xml:space="preserve"> act of protest, </w:t>
      </w:r>
      <w:r w:rsidR="00594B81" w:rsidRPr="00375C9F">
        <w:rPr>
          <w:rFonts w:ascii="Times New Roman" w:hAnsi="Times New Roman" w:cs="Times New Roman"/>
        </w:rPr>
        <w:t>such that their</w:t>
      </w:r>
      <w:r w:rsidR="006E2BE2" w:rsidRPr="00375C9F">
        <w:rPr>
          <w:rFonts w:ascii="Times New Roman" w:hAnsi="Times New Roman" w:cs="Times New Roman"/>
        </w:rPr>
        <w:t xml:space="preserve"> rights under </w:t>
      </w:r>
      <w:r w:rsidR="00594B81" w:rsidRPr="00375C9F">
        <w:rPr>
          <w:rFonts w:ascii="Times New Roman" w:hAnsi="Times New Roman" w:cs="Times New Roman"/>
        </w:rPr>
        <w:t>Article 40.6.1 of the Constitution and under Articles 10 and 11 of the ECHR</w:t>
      </w:r>
      <w:r w:rsidR="00262659" w:rsidRPr="00375C9F">
        <w:rPr>
          <w:rFonts w:ascii="Times New Roman" w:hAnsi="Times New Roman" w:cs="Times New Roman"/>
        </w:rPr>
        <w:t xml:space="preserve"> </w:t>
      </w:r>
      <w:r w:rsidR="00594B81" w:rsidRPr="00375C9F">
        <w:rPr>
          <w:rFonts w:ascii="Times New Roman" w:hAnsi="Times New Roman" w:cs="Times New Roman"/>
        </w:rPr>
        <w:t>are engaged</w:t>
      </w:r>
      <w:r w:rsidR="00262659" w:rsidRPr="00375C9F">
        <w:rPr>
          <w:rFonts w:ascii="Times New Roman" w:hAnsi="Times New Roman" w:cs="Times New Roman"/>
        </w:rPr>
        <w:t>, the criminal process must take account of and give due weight to th</w:t>
      </w:r>
      <w:r w:rsidR="00C133A1" w:rsidRPr="00375C9F">
        <w:rPr>
          <w:rFonts w:ascii="Times New Roman" w:hAnsi="Times New Roman" w:cs="Times New Roman"/>
        </w:rPr>
        <w:t>o</w:t>
      </w:r>
      <w:r w:rsidR="00262659" w:rsidRPr="00375C9F">
        <w:rPr>
          <w:rFonts w:ascii="Times New Roman" w:hAnsi="Times New Roman" w:cs="Times New Roman"/>
        </w:rPr>
        <w:t>se fundamental rights</w:t>
      </w:r>
      <w:r w:rsidR="000A2412" w:rsidRPr="00375C9F">
        <w:rPr>
          <w:rFonts w:ascii="Times New Roman" w:hAnsi="Times New Roman" w:cs="Times New Roman"/>
        </w:rPr>
        <w:t>. Due regard to those rights would</w:t>
      </w:r>
      <w:r w:rsidR="0057556E" w:rsidRPr="00375C9F">
        <w:rPr>
          <w:rFonts w:ascii="Times New Roman" w:hAnsi="Times New Roman" w:cs="Times New Roman"/>
        </w:rPr>
        <w:t xml:space="preserve"> involve </w:t>
      </w:r>
      <w:r w:rsidR="002512C2" w:rsidRPr="00375C9F">
        <w:rPr>
          <w:rFonts w:ascii="Times New Roman" w:hAnsi="Times New Roman" w:cs="Times New Roman"/>
        </w:rPr>
        <w:t xml:space="preserve">express judicial consideration of the rights engaged and of any defences which may therefore be open to </w:t>
      </w:r>
      <w:r w:rsidR="000A2412" w:rsidRPr="00375C9F">
        <w:rPr>
          <w:rFonts w:ascii="Times New Roman" w:hAnsi="Times New Roman" w:cs="Times New Roman"/>
        </w:rPr>
        <w:t>an</w:t>
      </w:r>
      <w:r w:rsidR="002512C2" w:rsidRPr="00375C9F">
        <w:rPr>
          <w:rFonts w:ascii="Times New Roman" w:hAnsi="Times New Roman" w:cs="Times New Roman"/>
        </w:rPr>
        <w:t xml:space="preserve"> </w:t>
      </w:r>
      <w:r w:rsidR="00CC4448">
        <w:rPr>
          <w:rFonts w:ascii="Times New Roman" w:hAnsi="Times New Roman" w:cs="Times New Roman"/>
        </w:rPr>
        <w:t>individual</w:t>
      </w:r>
      <w:r w:rsidR="000A2412" w:rsidRPr="00375C9F">
        <w:rPr>
          <w:rFonts w:ascii="Times New Roman" w:hAnsi="Times New Roman" w:cs="Times New Roman"/>
        </w:rPr>
        <w:t xml:space="preserve">, to include the defence of necessity. </w:t>
      </w:r>
      <w:r w:rsidR="00CC4448" w:rsidRPr="00CC4448">
        <w:rPr>
          <w:rFonts w:ascii="Times New Roman" w:hAnsi="Times New Roman" w:cs="Times New Roman"/>
        </w:rPr>
        <w:t>In the Commission’s respectful submission, the defence of necessity contains both subjective and objective elements so that the defence remains one which is restrictively applied and can only be developed on a case-by-case basis.</w:t>
      </w:r>
    </w:p>
    <w:p w14:paraId="1D8F62CF" w14:textId="77777777" w:rsidR="00375C9F" w:rsidRDefault="00375C9F" w:rsidP="00824073">
      <w:pPr>
        <w:spacing w:line="360" w:lineRule="auto"/>
        <w:jc w:val="right"/>
        <w:rPr>
          <w:rFonts w:ascii="Times New Roman" w:hAnsi="Times New Roman" w:cs="Times New Roman"/>
          <w:b/>
          <w:bCs/>
        </w:rPr>
      </w:pPr>
    </w:p>
    <w:p w14:paraId="057C6C2A" w14:textId="220B10C7" w:rsidR="008E76D4" w:rsidRPr="00A86052" w:rsidRDefault="00A86052" w:rsidP="00824073">
      <w:pPr>
        <w:spacing w:line="360" w:lineRule="auto"/>
        <w:jc w:val="right"/>
        <w:rPr>
          <w:rFonts w:ascii="Times New Roman" w:hAnsi="Times New Roman" w:cs="Times New Roman"/>
          <w:b/>
          <w:bCs/>
        </w:rPr>
      </w:pPr>
      <w:r w:rsidRPr="00A86052">
        <w:rPr>
          <w:rFonts w:ascii="Times New Roman" w:hAnsi="Times New Roman" w:cs="Times New Roman"/>
          <w:b/>
          <w:bCs/>
        </w:rPr>
        <w:t>Nóra Ní Loinsigh</w:t>
      </w:r>
    </w:p>
    <w:p w14:paraId="5D9E20DF" w14:textId="48AB7617" w:rsidR="008E76D4" w:rsidRPr="00A86052" w:rsidRDefault="00A86052" w:rsidP="00824073">
      <w:pPr>
        <w:spacing w:line="360" w:lineRule="auto"/>
        <w:jc w:val="right"/>
        <w:rPr>
          <w:rFonts w:ascii="Times New Roman" w:hAnsi="Times New Roman" w:cs="Times New Roman"/>
          <w:b/>
          <w:bCs/>
        </w:rPr>
      </w:pPr>
      <w:r w:rsidRPr="00A86052">
        <w:rPr>
          <w:rFonts w:ascii="Times New Roman" w:hAnsi="Times New Roman" w:cs="Times New Roman"/>
          <w:b/>
          <w:bCs/>
        </w:rPr>
        <w:t>Michael Lynn S</w:t>
      </w:r>
      <w:r w:rsidR="00C133A1">
        <w:rPr>
          <w:rFonts w:ascii="Times New Roman" w:hAnsi="Times New Roman" w:cs="Times New Roman"/>
          <w:b/>
          <w:bCs/>
        </w:rPr>
        <w:t>.</w:t>
      </w:r>
      <w:r w:rsidRPr="00A86052">
        <w:rPr>
          <w:rFonts w:ascii="Times New Roman" w:hAnsi="Times New Roman" w:cs="Times New Roman"/>
          <w:b/>
          <w:bCs/>
        </w:rPr>
        <w:t>C</w:t>
      </w:r>
      <w:r w:rsidR="00C133A1">
        <w:rPr>
          <w:rFonts w:ascii="Times New Roman" w:hAnsi="Times New Roman" w:cs="Times New Roman"/>
          <w:b/>
          <w:bCs/>
        </w:rPr>
        <w:t>.</w:t>
      </w:r>
    </w:p>
    <w:p w14:paraId="36862E1C" w14:textId="00B92DB4" w:rsidR="008E76D4" w:rsidRPr="00A86052" w:rsidRDefault="008E76D4" w:rsidP="00A86052">
      <w:pPr>
        <w:spacing w:line="360" w:lineRule="auto"/>
        <w:jc w:val="right"/>
        <w:rPr>
          <w:rFonts w:ascii="Times New Roman" w:hAnsi="Times New Roman" w:cs="Times New Roman"/>
          <w:b/>
          <w:bCs/>
        </w:rPr>
      </w:pPr>
      <w:r w:rsidRPr="00A86052">
        <w:rPr>
          <w:rFonts w:ascii="Times New Roman" w:hAnsi="Times New Roman" w:cs="Times New Roman"/>
          <w:b/>
          <w:bCs/>
        </w:rPr>
        <w:t>Instructed by the Irish Human Rights and Equality Commission</w:t>
      </w:r>
    </w:p>
    <w:p w14:paraId="4ED5F187" w14:textId="77777777" w:rsidR="008E76D4" w:rsidRPr="00A86052" w:rsidRDefault="008E76D4" w:rsidP="00824073">
      <w:pPr>
        <w:spacing w:line="360" w:lineRule="auto"/>
        <w:jc w:val="right"/>
        <w:rPr>
          <w:rFonts w:ascii="Times New Roman" w:hAnsi="Times New Roman" w:cs="Times New Roman"/>
          <w:b/>
          <w:bCs/>
        </w:rPr>
      </w:pPr>
    </w:p>
    <w:p w14:paraId="27BBB142" w14:textId="5525BA09" w:rsidR="008E76D4" w:rsidRPr="00C133A1" w:rsidRDefault="008E76D4" w:rsidP="00824073">
      <w:pPr>
        <w:spacing w:line="360" w:lineRule="auto"/>
        <w:jc w:val="right"/>
        <w:rPr>
          <w:rFonts w:ascii="Times New Roman" w:hAnsi="Times New Roman" w:cs="Times New Roman"/>
          <w:b/>
          <w:bCs/>
        </w:rPr>
      </w:pPr>
      <w:r w:rsidRPr="00C133A1">
        <w:rPr>
          <w:rFonts w:ascii="Times New Roman" w:hAnsi="Times New Roman" w:cs="Times New Roman"/>
          <w:b/>
          <w:bCs/>
        </w:rPr>
        <w:t>Date</w:t>
      </w:r>
      <w:r w:rsidR="00C133A1">
        <w:rPr>
          <w:rFonts w:ascii="Times New Roman" w:hAnsi="Times New Roman" w:cs="Times New Roman"/>
          <w:b/>
          <w:bCs/>
        </w:rPr>
        <w:t>: 8 April 2026</w:t>
      </w:r>
      <w:r w:rsidRPr="00C133A1">
        <w:rPr>
          <w:rFonts w:ascii="Times New Roman" w:hAnsi="Times New Roman" w:cs="Times New Roman"/>
          <w:b/>
          <w:bCs/>
        </w:rPr>
        <w:t xml:space="preserve"> </w:t>
      </w:r>
    </w:p>
    <w:p w14:paraId="77275D1C" w14:textId="3A11D342" w:rsidR="008E76D4" w:rsidRPr="00A86052" w:rsidRDefault="008E76D4" w:rsidP="00824073">
      <w:pPr>
        <w:spacing w:line="360" w:lineRule="auto"/>
        <w:jc w:val="right"/>
        <w:rPr>
          <w:rFonts w:ascii="Times New Roman" w:hAnsi="Times New Roman" w:cs="Times New Roman"/>
          <w:b/>
          <w:bCs/>
        </w:rPr>
      </w:pPr>
      <w:r w:rsidRPr="00C133A1">
        <w:rPr>
          <w:rFonts w:ascii="Times New Roman" w:hAnsi="Times New Roman" w:cs="Times New Roman"/>
          <w:b/>
          <w:bCs/>
        </w:rPr>
        <w:t>Word Count</w:t>
      </w:r>
      <w:r w:rsidR="00C133A1">
        <w:rPr>
          <w:rFonts w:ascii="Times New Roman" w:hAnsi="Times New Roman" w:cs="Times New Roman"/>
          <w:b/>
          <w:bCs/>
        </w:rPr>
        <w:t>: 11,</w:t>
      </w:r>
      <w:r w:rsidR="00B80938">
        <w:rPr>
          <w:rFonts w:ascii="Times New Roman" w:hAnsi="Times New Roman" w:cs="Times New Roman"/>
          <w:b/>
          <w:bCs/>
        </w:rPr>
        <w:t>228</w:t>
      </w:r>
    </w:p>
    <w:sectPr w:rsidR="008E76D4" w:rsidRPr="00A8605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7A96" w14:textId="77777777" w:rsidR="00EF5C94" w:rsidRDefault="00EF5C94" w:rsidP="00DB532E">
      <w:r>
        <w:separator/>
      </w:r>
    </w:p>
  </w:endnote>
  <w:endnote w:type="continuationSeparator" w:id="0">
    <w:p w14:paraId="2817FFC9" w14:textId="77777777" w:rsidR="00EF5C94" w:rsidRDefault="00EF5C94" w:rsidP="00DB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auto"/>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FDE4" w14:textId="45D8BFE3" w:rsidR="00DB532E" w:rsidRDefault="00DB532E" w:rsidP="00DB532E">
    <w:pPr>
      <w:pStyle w:val="Footer"/>
      <w:jc w:val="cen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Pr>
        <w:rFonts w:ascii="Times New Roman" w:hAnsi="Times New Roman"/>
        <w:noProof/>
        <w:lang w:val="en-GB"/>
      </w:rPr>
      <w:t>7</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Pr>
        <w:rFonts w:ascii="Times New Roman" w:hAnsi="Times New Roman"/>
        <w:noProof/>
        <w:lang w:val="en-GB"/>
      </w:rPr>
      <w:t>2</w:t>
    </w:r>
    <w:r>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010D" w14:textId="77777777" w:rsidR="00EF5C94" w:rsidRDefault="00EF5C94" w:rsidP="00DB532E">
      <w:r>
        <w:separator/>
      </w:r>
    </w:p>
  </w:footnote>
  <w:footnote w:type="continuationSeparator" w:id="0">
    <w:p w14:paraId="6B741732" w14:textId="77777777" w:rsidR="00EF5C94" w:rsidRDefault="00EF5C94" w:rsidP="00DB532E">
      <w:r>
        <w:continuationSeparator/>
      </w:r>
    </w:p>
  </w:footnote>
  <w:footnote w:id="1">
    <w:p w14:paraId="37A11C4F" w14:textId="6CD1035D" w:rsidR="005B039A" w:rsidRPr="00196724" w:rsidRDefault="005B039A" w:rsidP="001B156C">
      <w:pPr>
        <w:pStyle w:val="FootnoteText"/>
        <w:ind w:left="142" w:hanging="142"/>
        <w:jc w:val="both"/>
        <w:rPr>
          <w:rFonts w:ascii="Times New Roman" w:hAnsi="Times New Roman" w:cs="Times New Roman"/>
          <w:sz w:val="21"/>
          <w:szCs w:val="21"/>
        </w:rPr>
      </w:pPr>
      <w:r w:rsidRPr="00196724">
        <w:rPr>
          <w:rStyle w:val="FootnoteReference"/>
          <w:rFonts w:ascii="Times New Roman" w:hAnsi="Times New Roman" w:cs="Times New Roman"/>
          <w:sz w:val="21"/>
          <w:szCs w:val="21"/>
        </w:rPr>
        <w:footnoteRef/>
      </w:r>
      <w:r w:rsidRPr="00196724">
        <w:rPr>
          <w:rFonts w:ascii="Times New Roman" w:hAnsi="Times New Roman" w:cs="Times New Roman"/>
          <w:sz w:val="21"/>
          <w:szCs w:val="21"/>
        </w:rPr>
        <w:t xml:space="preserve"> This was noted by the Chief Justice in </w:t>
      </w:r>
      <w:r w:rsidRPr="00196724">
        <w:rPr>
          <w:rFonts w:ascii="Times New Roman" w:hAnsi="Times New Roman" w:cs="Times New Roman"/>
          <w:i/>
          <w:iCs/>
          <w:sz w:val="21"/>
          <w:szCs w:val="21"/>
        </w:rPr>
        <w:t xml:space="preserve">Corcoran </w:t>
      </w:r>
      <w:r w:rsidRPr="00196724">
        <w:rPr>
          <w:rFonts w:ascii="Times New Roman" w:hAnsi="Times New Roman" w:cs="Times New Roman"/>
          <w:sz w:val="21"/>
          <w:szCs w:val="21"/>
        </w:rPr>
        <w:t>at §3</w:t>
      </w:r>
      <w:r w:rsidR="00196724">
        <w:rPr>
          <w:rFonts w:ascii="Times New Roman" w:hAnsi="Times New Roman" w:cs="Times New Roman"/>
          <w:sz w:val="21"/>
          <w:szCs w:val="21"/>
        </w:rPr>
        <w:t>,</w:t>
      </w:r>
      <w:r w:rsidR="00073B37" w:rsidRPr="00196724">
        <w:rPr>
          <w:rFonts w:ascii="Times New Roman" w:hAnsi="Times New Roman" w:cs="Times New Roman"/>
          <w:sz w:val="21"/>
          <w:szCs w:val="21"/>
        </w:rPr>
        <w:t xml:space="preserve"> which goes some way to redressing this</w:t>
      </w:r>
      <w:r w:rsidRPr="00196724">
        <w:rPr>
          <w:rFonts w:ascii="Times New Roman" w:hAnsi="Times New Roman" w:cs="Times New Roman"/>
          <w:sz w:val="21"/>
          <w:szCs w:val="21"/>
        </w:rPr>
        <w:t>. The underdeveloped nature of the jurisprudence in this area was observed previously by Hogan J</w:t>
      </w:r>
      <w:r w:rsidR="00400989" w:rsidRPr="00196724">
        <w:rPr>
          <w:rFonts w:ascii="Times New Roman" w:hAnsi="Times New Roman" w:cs="Times New Roman"/>
          <w:sz w:val="21"/>
          <w:szCs w:val="21"/>
        </w:rPr>
        <w:t>.</w:t>
      </w:r>
      <w:r w:rsidRPr="00196724">
        <w:rPr>
          <w:rFonts w:ascii="Times New Roman" w:hAnsi="Times New Roman" w:cs="Times New Roman"/>
          <w:sz w:val="21"/>
          <w:szCs w:val="21"/>
        </w:rPr>
        <w:t xml:space="preserve"> (writing extra-judicially) as </w:t>
      </w:r>
      <w:r w:rsidR="00196724">
        <w:rPr>
          <w:rFonts w:ascii="Times New Roman" w:hAnsi="Times New Roman" w:cs="Times New Roman"/>
          <w:sz w:val="21"/>
          <w:szCs w:val="21"/>
        </w:rPr>
        <w:t>“</w:t>
      </w:r>
      <w:r w:rsidRPr="00196724">
        <w:rPr>
          <w:rFonts w:ascii="Times New Roman" w:hAnsi="Times New Roman" w:cs="Times New Roman"/>
          <w:i/>
          <w:iCs/>
          <w:sz w:val="21"/>
          <w:szCs w:val="21"/>
        </w:rPr>
        <w:t>stubbornly underdeveloped and under-litigated</w:t>
      </w:r>
      <w:r w:rsidRPr="00196724">
        <w:rPr>
          <w:rFonts w:ascii="Times New Roman" w:hAnsi="Times New Roman" w:cs="Times New Roman"/>
          <w:sz w:val="21"/>
          <w:szCs w:val="21"/>
        </w:rPr>
        <w:t>”</w:t>
      </w:r>
      <w:r w:rsidR="00196724">
        <w:rPr>
          <w:rFonts w:ascii="Times New Roman" w:hAnsi="Times New Roman" w:cs="Times New Roman"/>
          <w:sz w:val="21"/>
          <w:szCs w:val="21"/>
        </w:rPr>
        <w:t>,</w:t>
      </w:r>
      <w:r w:rsidRPr="00196724">
        <w:rPr>
          <w:rFonts w:ascii="Times New Roman" w:hAnsi="Times New Roman" w:cs="Times New Roman"/>
          <w:sz w:val="21"/>
          <w:szCs w:val="21"/>
        </w:rPr>
        <w:t xml:space="preserve"> in Gerard Hogan, “The Historical Origins of Article 40.6.1” in Carolan and Doyle Eds.</w:t>
      </w:r>
      <w:r w:rsidR="00196724">
        <w:rPr>
          <w:rFonts w:ascii="Times New Roman" w:hAnsi="Times New Roman" w:cs="Times New Roman"/>
          <w:sz w:val="21"/>
          <w:szCs w:val="21"/>
        </w:rPr>
        <w:t>,</w:t>
      </w:r>
      <w:r w:rsidRPr="00196724">
        <w:rPr>
          <w:rFonts w:ascii="Times New Roman" w:hAnsi="Times New Roman" w:cs="Times New Roman"/>
          <w:sz w:val="21"/>
          <w:szCs w:val="21"/>
        </w:rPr>
        <w:t xml:space="preserve"> </w:t>
      </w:r>
      <w:r w:rsidRPr="00196724">
        <w:rPr>
          <w:rFonts w:ascii="Times New Roman" w:hAnsi="Times New Roman" w:cs="Times New Roman"/>
          <w:i/>
          <w:iCs/>
          <w:sz w:val="21"/>
          <w:szCs w:val="21"/>
        </w:rPr>
        <w:t>The</w:t>
      </w:r>
      <w:r w:rsidRPr="00196724">
        <w:rPr>
          <w:rFonts w:ascii="Times New Roman" w:hAnsi="Times New Roman" w:cs="Times New Roman"/>
          <w:sz w:val="21"/>
          <w:szCs w:val="21"/>
        </w:rPr>
        <w:t xml:space="preserve"> </w:t>
      </w:r>
      <w:r w:rsidRPr="00196724">
        <w:rPr>
          <w:rFonts w:ascii="Times New Roman" w:hAnsi="Times New Roman" w:cs="Times New Roman"/>
          <w:i/>
          <w:iCs/>
          <w:sz w:val="21"/>
          <w:szCs w:val="21"/>
        </w:rPr>
        <w:t>Constitution of Ireland: Governance and Values</w:t>
      </w:r>
      <w:r w:rsidR="00196724">
        <w:rPr>
          <w:rFonts w:ascii="Times New Roman" w:hAnsi="Times New Roman" w:cs="Times New Roman"/>
          <w:sz w:val="21"/>
          <w:szCs w:val="21"/>
        </w:rPr>
        <w:t xml:space="preserve">, </w:t>
      </w:r>
      <w:r w:rsidRPr="00196724">
        <w:rPr>
          <w:rFonts w:ascii="Times New Roman" w:hAnsi="Times New Roman" w:cs="Times New Roman"/>
          <w:sz w:val="21"/>
          <w:szCs w:val="21"/>
        </w:rPr>
        <w:t>Thomson Round Hall, 2008).</w:t>
      </w:r>
    </w:p>
  </w:footnote>
  <w:footnote w:id="2">
    <w:p w14:paraId="3AC7D559" w14:textId="45218B88" w:rsidR="005B039A" w:rsidRPr="00196724" w:rsidRDefault="005B039A" w:rsidP="001B156C">
      <w:pPr>
        <w:pStyle w:val="FootnoteText"/>
        <w:ind w:left="142" w:hanging="142"/>
        <w:jc w:val="both"/>
        <w:rPr>
          <w:rFonts w:ascii="Times New Roman" w:hAnsi="Times New Roman" w:cs="Times New Roman"/>
          <w:sz w:val="21"/>
          <w:szCs w:val="21"/>
        </w:rPr>
      </w:pPr>
      <w:r w:rsidRPr="00196724">
        <w:rPr>
          <w:rStyle w:val="FootnoteReference"/>
          <w:rFonts w:ascii="Times New Roman" w:hAnsi="Times New Roman" w:cs="Times New Roman"/>
          <w:sz w:val="21"/>
          <w:szCs w:val="21"/>
        </w:rPr>
        <w:footnoteRef/>
      </w:r>
      <w:r w:rsidRPr="00196724">
        <w:rPr>
          <w:rFonts w:ascii="Times New Roman" w:hAnsi="Times New Roman" w:cs="Times New Roman"/>
          <w:sz w:val="21"/>
          <w:szCs w:val="21"/>
        </w:rPr>
        <w:t xml:space="preserve"> T</w:t>
      </w:r>
      <w:r w:rsidR="00400989" w:rsidRPr="00196724">
        <w:rPr>
          <w:rFonts w:ascii="Times New Roman" w:hAnsi="Times New Roman" w:cs="Times New Roman"/>
          <w:sz w:val="21"/>
          <w:szCs w:val="21"/>
        </w:rPr>
        <w:t>h</w:t>
      </w:r>
      <w:r w:rsidRPr="00196724">
        <w:rPr>
          <w:rFonts w:ascii="Times New Roman" w:hAnsi="Times New Roman" w:cs="Times New Roman"/>
          <w:sz w:val="21"/>
          <w:szCs w:val="21"/>
        </w:rPr>
        <w:t>is arises both at the level of the EC</w:t>
      </w:r>
      <w:r w:rsidR="00196724">
        <w:rPr>
          <w:rFonts w:ascii="Times New Roman" w:hAnsi="Times New Roman" w:cs="Times New Roman"/>
          <w:sz w:val="21"/>
          <w:szCs w:val="21"/>
        </w:rPr>
        <w:t>t</w:t>
      </w:r>
      <w:r w:rsidRPr="00196724">
        <w:rPr>
          <w:rFonts w:ascii="Times New Roman" w:hAnsi="Times New Roman" w:cs="Times New Roman"/>
          <w:sz w:val="21"/>
          <w:szCs w:val="21"/>
        </w:rPr>
        <w:t>HR which has a well-developed body of jurisprudence and also domestically where, as Daly opines, the constitutional protection has been “</w:t>
      </w:r>
      <w:r w:rsidRPr="00196724">
        <w:rPr>
          <w:rFonts w:ascii="Times New Roman" w:hAnsi="Times New Roman" w:cs="Times New Roman"/>
          <w:i/>
          <w:iCs/>
          <w:sz w:val="21"/>
          <w:szCs w:val="21"/>
        </w:rPr>
        <w:t>sidelined”</w:t>
      </w:r>
      <w:r w:rsidRPr="00196724">
        <w:rPr>
          <w:rFonts w:ascii="Times New Roman" w:hAnsi="Times New Roman" w:cs="Times New Roman"/>
          <w:sz w:val="21"/>
          <w:szCs w:val="21"/>
        </w:rPr>
        <w:t xml:space="preserve"> in favour of the well-developed principles under Article 10 of the ECHR (Tom Daly, “Strengthening Irish Democracy: A Proposal to Restore Free Speech to Article 40.6.1°(</w:t>
      </w:r>
      <w:r w:rsidR="00196724">
        <w:rPr>
          <w:rFonts w:ascii="Times New Roman" w:hAnsi="Times New Roman" w:cs="Times New Roman"/>
          <w:sz w:val="21"/>
          <w:szCs w:val="21"/>
        </w:rPr>
        <w:t>i</w:t>
      </w:r>
      <w:r w:rsidRPr="00196724">
        <w:rPr>
          <w:rFonts w:ascii="Times New Roman" w:hAnsi="Times New Roman" w:cs="Times New Roman"/>
          <w:sz w:val="21"/>
          <w:szCs w:val="21"/>
        </w:rPr>
        <w:t xml:space="preserve">) </w:t>
      </w:r>
      <w:r w:rsidR="00196724">
        <w:rPr>
          <w:rFonts w:ascii="Times New Roman" w:hAnsi="Times New Roman" w:cs="Times New Roman"/>
          <w:sz w:val="21"/>
          <w:szCs w:val="21"/>
        </w:rPr>
        <w:t>o</w:t>
      </w:r>
      <w:r w:rsidRPr="00196724">
        <w:rPr>
          <w:rFonts w:ascii="Times New Roman" w:hAnsi="Times New Roman" w:cs="Times New Roman"/>
          <w:sz w:val="21"/>
          <w:szCs w:val="21"/>
        </w:rPr>
        <w:t>f The Consti</w:t>
      </w:r>
      <w:r w:rsidR="00BE6520" w:rsidRPr="00196724">
        <w:rPr>
          <w:rFonts w:ascii="Times New Roman" w:hAnsi="Times New Roman" w:cs="Times New Roman"/>
          <w:sz w:val="21"/>
          <w:szCs w:val="21"/>
        </w:rPr>
        <w:t>t</w:t>
      </w:r>
      <w:r w:rsidRPr="00196724">
        <w:rPr>
          <w:rFonts w:ascii="Times New Roman" w:hAnsi="Times New Roman" w:cs="Times New Roman"/>
          <w:sz w:val="21"/>
          <w:szCs w:val="21"/>
        </w:rPr>
        <w:t>ution”</w:t>
      </w:r>
      <w:r w:rsidR="00196724">
        <w:rPr>
          <w:rFonts w:ascii="Times New Roman" w:hAnsi="Times New Roman" w:cs="Times New Roman"/>
          <w:sz w:val="21"/>
          <w:szCs w:val="21"/>
        </w:rPr>
        <w:t>,</w:t>
      </w:r>
      <w:r w:rsidRPr="00196724">
        <w:rPr>
          <w:rFonts w:ascii="Times New Roman" w:hAnsi="Times New Roman" w:cs="Times New Roman"/>
          <w:sz w:val="21"/>
          <w:szCs w:val="21"/>
        </w:rPr>
        <w:t xml:space="preserve"> </w:t>
      </w:r>
      <w:r w:rsidRPr="00196724">
        <w:rPr>
          <w:rFonts w:ascii="Times New Roman" w:hAnsi="Times New Roman" w:cs="Times New Roman"/>
          <w:i/>
          <w:iCs/>
          <w:sz w:val="21"/>
          <w:szCs w:val="21"/>
        </w:rPr>
        <w:t xml:space="preserve">Dublin University Law Journal </w:t>
      </w:r>
      <w:r w:rsidRPr="00196724">
        <w:rPr>
          <w:rFonts w:ascii="Times New Roman" w:hAnsi="Times New Roman" w:cs="Times New Roman"/>
          <w:sz w:val="21"/>
          <w:szCs w:val="21"/>
        </w:rPr>
        <w:t>2009, 31(1), 228-262</w:t>
      </w:r>
    </w:p>
  </w:footnote>
  <w:footnote w:id="3">
    <w:p w14:paraId="4173A1E6" w14:textId="48C22EC5" w:rsidR="00196724" w:rsidRPr="00C43718" w:rsidRDefault="00196724" w:rsidP="001B156C">
      <w:pPr>
        <w:pStyle w:val="FootnoteText"/>
        <w:ind w:left="142" w:hanging="142"/>
        <w:jc w:val="both"/>
        <w:rPr>
          <w:rFonts w:ascii="Times New Roman" w:hAnsi="Times New Roman" w:cs="Times New Roman"/>
          <w:sz w:val="21"/>
          <w:szCs w:val="21"/>
        </w:rPr>
      </w:pPr>
      <w:r w:rsidRPr="00196724">
        <w:rPr>
          <w:rStyle w:val="FootnoteReference"/>
          <w:rFonts w:ascii="Times New Roman" w:hAnsi="Times New Roman" w:cs="Times New Roman"/>
          <w:sz w:val="21"/>
          <w:szCs w:val="21"/>
        </w:rPr>
        <w:footnoteRef/>
      </w:r>
      <w:r w:rsidRPr="00196724">
        <w:rPr>
          <w:rFonts w:ascii="Times New Roman" w:hAnsi="Times New Roman" w:cs="Times New Roman"/>
          <w:sz w:val="21"/>
          <w:szCs w:val="21"/>
        </w:rPr>
        <w:t xml:space="preserve"> This is also addressed in commentary on freedom of assembly. See for example Barry and Ó </w:t>
      </w:r>
      <w:r w:rsidRPr="00196724">
        <w:rPr>
          <w:rFonts w:ascii="Times New Roman" w:hAnsi="Times New Roman" w:cs="Times New Roman"/>
          <w:sz w:val="21"/>
          <w:szCs w:val="21"/>
        </w:rPr>
        <w:t xml:space="preserve">Drisceoil, “Constitutional Right to Protest and the Freemen </w:t>
      </w:r>
      <w:r w:rsidRPr="00196724">
        <w:rPr>
          <w:rFonts w:ascii="Times New Roman" w:hAnsi="Times New Roman" w:cs="Times New Roman"/>
          <w:sz w:val="21"/>
          <w:szCs w:val="21"/>
        </w:rPr>
        <w:t xml:space="preserve">On The Land Movement” (2017) 1 </w:t>
      </w:r>
      <w:r w:rsidRPr="00196724">
        <w:rPr>
          <w:rFonts w:ascii="Times New Roman" w:hAnsi="Times New Roman" w:cs="Times New Roman"/>
          <w:i/>
          <w:iCs/>
          <w:sz w:val="21"/>
          <w:szCs w:val="21"/>
        </w:rPr>
        <w:t>Irish Judicial Studies Journal</w:t>
      </w:r>
      <w:r w:rsidRPr="00196724">
        <w:rPr>
          <w:rFonts w:ascii="Times New Roman" w:hAnsi="Times New Roman" w:cs="Times New Roman"/>
          <w:sz w:val="21"/>
          <w:szCs w:val="21"/>
        </w:rPr>
        <w:t xml:space="preserve"> 40.</w:t>
      </w:r>
    </w:p>
  </w:footnote>
  <w:footnote w:id="4">
    <w:p w14:paraId="6D20E1B8" w14:textId="53BA7411" w:rsidR="005B039A" w:rsidRPr="00196724" w:rsidRDefault="005B039A" w:rsidP="001B156C">
      <w:pPr>
        <w:pStyle w:val="FootnoteText"/>
        <w:ind w:left="142" w:hanging="142"/>
        <w:jc w:val="both"/>
        <w:rPr>
          <w:rFonts w:ascii="Times New Roman" w:hAnsi="Times New Roman" w:cs="Times New Roman"/>
          <w:i/>
          <w:iCs/>
          <w:sz w:val="21"/>
          <w:szCs w:val="21"/>
        </w:rPr>
      </w:pPr>
      <w:r w:rsidRPr="00196724">
        <w:rPr>
          <w:rStyle w:val="FootnoteReference"/>
          <w:rFonts w:ascii="Times New Roman" w:hAnsi="Times New Roman" w:cs="Times New Roman"/>
          <w:sz w:val="21"/>
          <w:szCs w:val="21"/>
        </w:rPr>
        <w:footnoteRef/>
      </w:r>
      <w:r w:rsidRPr="00196724">
        <w:rPr>
          <w:rFonts w:ascii="Times New Roman" w:hAnsi="Times New Roman" w:cs="Times New Roman"/>
          <w:sz w:val="21"/>
          <w:szCs w:val="21"/>
        </w:rPr>
        <w:t xml:space="preserve"> See the comments of Collins J</w:t>
      </w:r>
      <w:r w:rsidR="00196724">
        <w:rPr>
          <w:rFonts w:ascii="Times New Roman" w:hAnsi="Times New Roman" w:cs="Times New Roman"/>
          <w:sz w:val="21"/>
          <w:szCs w:val="21"/>
        </w:rPr>
        <w:t>.</w:t>
      </w:r>
      <w:r w:rsidRPr="00196724">
        <w:rPr>
          <w:rFonts w:ascii="Times New Roman" w:hAnsi="Times New Roman" w:cs="Times New Roman"/>
          <w:sz w:val="21"/>
          <w:szCs w:val="21"/>
        </w:rPr>
        <w:t xml:space="preserve"> in </w:t>
      </w:r>
      <w:r w:rsidRPr="00196724">
        <w:rPr>
          <w:rFonts w:ascii="Times New Roman" w:hAnsi="Times New Roman" w:cs="Times New Roman"/>
          <w:i/>
          <w:iCs/>
          <w:sz w:val="21"/>
          <w:szCs w:val="21"/>
        </w:rPr>
        <w:t xml:space="preserve">Corcoran </w:t>
      </w:r>
      <w:r w:rsidRPr="00196724">
        <w:rPr>
          <w:rFonts w:ascii="Times New Roman" w:hAnsi="Times New Roman" w:cs="Times New Roman"/>
          <w:sz w:val="21"/>
          <w:szCs w:val="21"/>
        </w:rPr>
        <w:t>at §</w:t>
      </w:r>
      <w:r w:rsidR="00A91170">
        <w:rPr>
          <w:rFonts w:ascii="Times New Roman" w:hAnsi="Times New Roman" w:cs="Times New Roman"/>
          <w:sz w:val="21"/>
          <w:szCs w:val="21"/>
        </w:rPr>
        <w:t>189</w:t>
      </w:r>
      <w:r w:rsidRPr="00196724">
        <w:rPr>
          <w:rFonts w:ascii="Times New Roman" w:hAnsi="Times New Roman" w:cs="Times New Roman"/>
          <w:sz w:val="21"/>
          <w:szCs w:val="21"/>
        </w:rPr>
        <w:t>: “</w:t>
      </w:r>
      <w:r w:rsidRPr="00196724">
        <w:rPr>
          <w:rFonts w:ascii="Times New Roman" w:hAnsi="Times New Roman" w:cs="Times New Roman"/>
          <w:i/>
          <w:iCs/>
          <w:sz w:val="21"/>
          <w:szCs w:val="21"/>
        </w:rPr>
        <w:t xml:space="preserve">Before explaining that position further, I should first address the issue of priority. The courts have emphasised the primacy of the Constitution as the fundamental law of the State. The ECHR does not have such status. Its status and effect as a matter of domestic Irish law is as prescribed by the 2003 Act. Issues regarding the relationship and interaction between the Constitution and the ECHR in litigation have been considered in many recent decisions of this Court, starting with </w:t>
      </w:r>
      <w:r w:rsidRPr="00196724">
        <w:rPr>
          <w:rFonts w:ascii="Times New Roman" w:hAnsi="Times New Roman" w:cs="Times New Roman"/>
          <w:sz w:val="21"/>
          <w:szCs w:val="21"/>
        </w:rPr>
        <w:t>Carmody v Minister for Justice</w:t>
      </w:r>
      <w:r w:rsidRPr="00196724">
        <w:rPr>
          <w:rFonts w:ascii="Times New Roman" w:hAnsi="Times New Roman" w:cs="Times New Roman"/>
          <w:i/>
          <w:iCs/>
          <w:sz w:val="21"/>
          <w:szCs w:val="21"/>
        </w:rPr>
        <w:t xml:space="preserve"> [2009] IESC 71, [2010] 1 IR 635 and including </w:t>
      </w:r>
      <w:r w:rsidRPr="00196724">
        <w:rPr>
          <w:rFonts w:ascii="Times New Roman" w:hAnsi="Times New Roman" w:cs="Times New Roman"/>
          <w:sz w:val="21"/>
          <w:szCs w:val="21"/>
        </w:rPr>
        <w:t>Simpson v Governor of Mountjoy Prison</w:t>
      </w:r>
      <w:r w:rsidRPr="00196724">
        <w:rPr>
          <w:rFonts w:ascii="Times New Roman" w:hAnsi="Times New Roman" w:cs="Times New Roman"/>
          <w:i/>
          <w:iCs/>
          <w:sz w:val="21"/>
          <w:szCs w:val="21"/>
        </w:rPr>
        <w:t xml:space="preserve"> [2019] IESC 81, [2020] 3 IR 113, </w:t>
      </w:r>
      <w:r w:rsidRPr="00196724">
        <w:rPr>
          <w:rFonts w:ascii="Times New Roman" w:hAnsi="Times New Roman" w:cs="Times New Roman"/>
          <w:sz w:val="21"/>
          <w:szCs w:val="21"/>
        </w:rPr>
        <w:t>Fox v Minister for Justice and Equality</w:t>
      </w:r>
      <w:r w:rsidRPr="00196724">
        <w:rPr>
          <w:rFonts w:ascii="Times New Roman" w:hAnsi="Times New Roman" w:cs="Times New Roman"/>
          <w:i/>
          <w:iCs/>
          <w:sz w:val="21"/>
          <w:szCs w:val="21"/>
        </w:rPr>
        <w:t xml:space="preserve"> [2021] IESC 61, [2021] 2 ILRM 225, </w:t>
      </w:r>
      <w:r w:rsidRPr="00196724">
        <w:rPr>
          <w:rFonts w:ascii="Times New Roman" w:hAnsi="Times New Roman" w:cs="Times New Roman"/>
          <w:sz w:val="21"/>
          <w:szCs w:val="21"/>
        </w:rPr>
        <w:t>Clare County Council v McDonagh</w:t>
      </w:r>
      <w:r w:rsidRPr="00196724">
        <w:rPr>
          <w:rFonts w:ascii="Times New Roman" w:hAnsi="Times New Roman" w:cs="Times New Roman"/>
          <w:i/>
          <w:iCs/>
          <w:sz w:val="21"/>
          <w:szCs w:val="21"/>
        </w:rPr>
        <w:t xml:space="preserve"> [2022] IESC 2, [2022] 1 ILRM 353, </w:t>
      </w:r>
      <w:r w:rsidRPr="00196724">
        <w:rPr>
          <w:rFonts w:ascii="Times New Roman" w:hAnsi="Times New Roman" w:cs="Times New Roman"/>
          <w:sz w:val="21"/>
          <w:szCs w:val="21"/>
        </w:rPr>
        <w:t>MK (Albania) v Minister for Justice &amp; Equality</w:t>
      </w:r>
      <w:r w:rsidRPr="00196724">
        <w:rPr>
          <w:rFonts w:ascii="Times New Roman" w:hAnsi="Times New Roman" w:cs="Times New Roman"/>
          <w:i/>
          <w:iCs/>
          <w:sz w:val="21"/>
          <w:szCs w:val="21"/>
        </w:rPr>
        <w:t xml:space="preserve"> [2022] IESC 48 and </w:t>
      </w:r>
      <w:r w:rsidRPr="00196724">
        <w:rPr>
          <w:rFonts w:ascii="Times New Roman" w:hAnsi="Times New Roman" w:cs="Times New Roman"/>
          <w:sz w:val="21"/>
          <w:szCs w:val="21"/>
        </w:rPr>
        <w:t>Middelkamp v Minister for Justice and Equality</w:t>
      </w:r>
      <w:r w:rsidRPr="00196724">
        <w:rPr>
          <w:rFonts w:ascii="Times New Roman" w:hAnsi="Times New Roman" w:cs="Times New Roman"/>
          <w:i/>
          <w:iCs/>
          <w:sz w:val="21"/>
          <w:szCs w:val="21"/>
        </w:rPr>
        <w:t xml:space="preserve"> </w:t>
      </w:r>
      <w:r w:rsidRPr="00823921">
        <w:rPr>
          <w:rFonts w:ascii="Times New Roman" w:hAnsi="Times New Roman" w:cs="Times New Roman"/>
          <w:sz w:val="21"/>
          <w:szCs w:val="21"/>
        </w:rPr>
        <w:t xml:space="preserve">[2023] IESC 2. </w:t>
      </w:r>
      <w:r w:rsidR="00274180">
        <w:rPr>
          <w:rFonts w:ascii="Times New Roman" w:hAnsi="Times New Roman" w:cs="Times New Roman"/>
          <w:sz w:val="21"/>
          <w:szCs w:val="21"/>
        </w:rPr>
        <w:t xml:space="preserve">At </w:t>
      </w:r>
      <w:r w:rsidRPr="00823921">
        <w:rPr>
          <w:rFonts w:ascii="Times New Roman" w:hAnsi="Times New Roman" w:cs="Times New Roman"/>
          <w:sz w:val="21"/>
          <w:szCs w:val="21"/>
        </w:rPr>
        <w:t xml:space="preserve">11 </w:t>
      </w:r>
      <w:r w:rsidRPr="00196724">
        <w:rPr>
          <w:rFonts w:ascii="Times New Roman" w:hAnsi="Times New Roman" w:cs="Times New Roman"/>
          <w:i/>
          <w:iCs/>
          <w:sz w:val="21"/>
          <w:szCs w:val="21"/>
        </w:rPr>
        <w:t>“In general, it is clear that the Constitution should be the first port of call when fundamental rights are at issue.</w:t>
      </w:r>
      <w:r w:rsidR="00274180">
        <w:rPr>
          <w:rFonts w:ascii="Times New Roman" w:hAnsi="Times New Roman" w:cs="Times New Roman"/>
          <w:i/>
          <w:iCs/>
          <w:sz w:val="21"/>
          <w:szCs w:val="21"/>
        </w:rPr>
        <w:t>”</w:t>
      </w:r>
    </w:p>
    <w:p w14:paraId="59426B46" w14:textId="77777777" w:rsidR="00196724" w:rsidRPr="00196724" w:rsidRDefault="00196724" w:rsidP="001B156C">
      <w:pPr>
        <w:pStyle w:val="FootnoteText"/>
        <w:ind w:left="142" w:hanging="142"/>
        <w:jc w:val="both"/>
        <w:rPr>
          <w:rFonts w:ascii="Times New Roman" w:hAnsi="Times New Roman" w:cs="Times New Roman"/>
          <w:sz w:val="21"/>
          <w:szCs w:val="21"/>
        </w:rPr>
      </w:pPr>
    </w:p>
  </w:footnote>
  <w:footnote w:id="5">
    <w:p w14:paraId="512A1DF0" w14:textId="77777777" w:rsidR="005B039A" w:rsidRPr="00A07A7C" w:rsidRDefault="005B039A" w:rsidP="001B156C">
      <w:pPr>
        <w:pStyle w:val="FootnoteText"/>
        <w:ind w:left="142" w:hanging="142"/>
        <w:jc w:val="both"/>
        <w:rPr>
          <w:rFonts w:ascii="Times New Roman" w:hAnsi="Times New Roman" w:cs="Times New Roman"/>
          <w:sz w:val="21"/>
          <w:szCs w:val="21"/>
        </w:rPr>
      </w:pPr>
      <w:r w:rsidRPr="00A07A7C">
        <w:rPr>
          <w:rStyle w:val="FootnoteReference"/>
          <w:rFonts w:ascii="Times New Roman" w:hAnsi="Times New Roman" w:cs="Times New Roman"/>
          <w:sz w:val="21"/>
          <w:szCs w:val="21"/>
        </w:rPr>
        <w:footnoteRef/>
      </w:r>
      <w:r w:rsidRPr="00A07A7C">
        <w:rPr>
          <w:rFonts w:ascii="Times New Roman" w:hAnsi="Times New Roman" w:cs="Times New Roman"/>
          <w:sz w:val="21"/>
          <w:szCs w:val="21"/>
        </w:rPr>
        <w:t xml:space="preserve"> See discussion at §66. </w:t>
      </w:r>
    </w:p>
  </w:footnote>
  <w:footnote w:id="6">
    <w:p w14:paraId="57CB61BE" w14:textId="77777777" w:rsidR="005B039A" w:rsidRPr="00A07A7C" w:rsidRDefault="005B039A" w:rsidP="001B156C">
      <w:pPr>
        <w:pStyle w:val="FootnoteText"/>
        <w:ind w:left="142" w:hanging="142"/>
        <w:jc w:val="both"/>
        <w:rPr>
          <w:rFonts w:ascii="Times New Roman" w:hAnsi="Times New Roman" w:cs="Times New Roman"/>
          <w:sz w:val="21"/>
          <w:szCs w:val="21"/>
        </w:rPr>
      </w:pPr>
      <w:r w:rsidRPr="00A07A7C">
        <w:rPr>
          <w:rStyle w:val="FootnoteReference"/>
          <w:rFonts w:ascii="Times New Roman" w:hAnsi="Times New Roman" w:cs="Times New Roman"/>
          <w:sz w:val="21"/>
          <w:szCs w:val="21"/>
        </w:rPr>
        <w:footnoteRef/>
      </w:r>
      <w:r w:rsidRPr="00A07A7C">
        <w:rPr>
          <w:rFonts w:ascii="Times New Roman" w:hAnsi="Times New Roman" w:cs="Times New Roman"/>
          <w:sz w:val="21"/>
          <w:szCs w:val="21"/>
        </w:rPr>
        <w:t xml:space="preserve"> As discussed at §66. </w:t>
      </w:r>
    </w:p>
  </w:footnote>
  <w:footnote w:id="7">
    <w:p w14:paraId="76090D70" w14:textId="47AB4338" w:rsidR="00F43992" w:rsidRPr="00F43992" w:rsidRDefault="00F43992">
      <w:pPr>
        <w:pStyle w:val="FootnoteText"/>
        <w:rPr>
          <w:rFonts w:ascii="Times New Roman" w:hAnsi="Times New Roman" w:cs="Times New Roman"/>
          <w:sz w:val="21"/>
          <w:szCs w:val="21"/>
          <w:lang w:val="en-IE"/>
        </w:rPr>
      </w:pPr>
      <w:r>
        <w:rPr>
          <w:rStyle w:val="FootnoteReference"/>
        </w:rPr>
        <w:footnoteRef/>
      </w:r>
      <w:r>
        <w:t xml:space="preserve"> </w:t>
      </w:r>
      <w:r>
        <w:rPr>
          <w:rFonts w:ascii="Times New Roman" w:hAnsi="Times New Roman" w:cs="Times New Roman"/>
          <w:sz w:val="21"/>
          <w:szCs w:val="21"/>
        </w:rPr>
        <w:t>A</w:t>
      </w:r>
      <w:r w:rsidRPr="00A91170">
        <w:rPr>
          <w:rFonts w:ascii="Times New Roman" w:hAnsi="Times New Roman" w:cs="Times New Roman"/>
          <w:sz w:val="21"/>
          <w:szCs w:val="21"/>
        </w:rPr>
        <w:t>vailable online at</w:t>
      </w:r>
      <w:r>
        <w:rPr>
          <w:rFonts w:ascii="Times New Roman" w:hAnsi="Times New Roman" w:cs="Times New Roman"/>
          <w:sz w:val="21"/>
          <w:szCs w:val="21"/>
        </w:rPr>
        <w:t>:</w:t>
      </w:r>
      <w:r w:rsidRPr="00A91170">
        <w:rPr>
          <w:rFonts w:ascii="Times New Roman" w:hAnsi="Times New Roman" w:cs="Times New Roman"/>
          <w:sz w:val="21"/>
          <w:szCs w:val="21"/>
        </w:rPr>
        <w:t xml:space="preserve"> </w:t>
      </w:r>
      <w:hyperlink r:id="rId1" w:history="1">
        <w:r w:rsidRPr="00A91170">
          <w:rPr>
            <w:rStyle w:val="Hyperlink"/>
            <w:rFonts w:ascii="Times New Roman" w:hAnsi="Times New Roman" w:cs="Times New Roman"/>
            <w:sz w:val="21"/>
            <w:szCs w:val="21"/>
          </w:rPr>
          <w:t>https://unece.org/sites/default/files/202510/Aarhus_SR_EnvDef_Guidelines_Right%20to%20Peaceful%20Environmental%20Protest_Civil%20Disobedience_ENG_0.pdf</w:t>
        </w:r>
      </w:hyperlink>
      <w:r w:rsidRPr="00A91170">
        <w:rPr>
          <w:rFonts w:ascii="Times New Roman" w:hAnsi="Times New Roman" w:cs="Times New Roman"/>
          <w:sz w:val="21"/>
          <w:szCs w:val="21"/>
        </w:rPr>
        <w:t xml:space="preserve"> See also, more generally the International </w:t>
      </w:r>
      <w:r w:rsidRPr="00F43992">
        <w:rPr>
          <w:rFonts w:ascii="Times New Roman" w:hAnsi="Times New Roman" w:cs="Times New Roman"/>
          <w:sz w:val="21"/>
          <w:szCs w:val="21"/>
        </w:rPr>
        <w:t>Covenant on Civil and Political Rights, Human Rights Committee General comment No. 37 (2020) on the right of peaceful assembly (article 21),</w:t>
      </w:r>
    </w:p>
  </w:footnote>
  <w:footnote w:id="8">
    <w:p w14:paraId="3E7A47F9" w14:textId="19296D25" w:rsidR="00485780" w:rsidRPr="00A91170" w:rsidRDefault="00485780" w:rsidP="001B156C">
      <w:pPr>
        <w:pStyle w:val="FootnoteText"/>
        <w:ind w:left="142" w:hanging="142"/>
        <w:jc w:val="both"/>
        <w:rPr>
          <w:rFonts w:ascii="Times New Roman" w:hAnsi="Times New Roman" w:cs="Times New Roman"/>
          <w:sz w:val="21"/>
          <w:szCs w:val="21"/>
        </w:rPr>
      </w:pPr>
      <w:r w:rsidRPr="00A91170">
        <w:rPr>
          <w:rStyle w:val="FootnoteReference"/>
          <w:rFonts w:ascii="Times New Roman" w:hAnsi="Times New Roman" w:cs="Times New Roman"/>
          <w:sz w:val="21"/>
          <w:szCs w:val="21"/>
        </w:rPr>
        <w:footnoteRef/>
      </w:r>
      <w:r w:rsidRPr="00A91170">
        <w:rPr>
          <w:rFonts w:ascii="Times New Roman" w:hAnsi="Times New Roman" w:cs="Times New Roman"/>
          <w:sz w:val="21"/>
          <w:szCs w:val="21"/>
        </w:rPr>
        <w:t xml:space="preserve"> Harris, O’Boyle, and Warbrick, </w:t>
      </w:r>
      <w:r w:rsidRPr="00A91170">
        <w:rPr>
          <w:rFonts w:ascii="Times New Roman" w:hAnsi="Times New Roman" w:cs="Times New Roman"/>
          <w:i/>
          <w:iCs/>
          <w:sz w:val="21"/>
          <w:szCs w:val="21"/>
        </w:rPr>
        <w:t>Law of the European Convention on Human Rights</w:t>
      </w:r>
      <w:r w:rsidRPr="00A91170">
        <w:rPr>
          <w:rFonts w:ascii="Times New Roman" w:hAnsi="Times New Roman" w:cs="Times New Roman"/>
          <w:sz w:val="21"/>
          <w:szCs w:val="21"/>
        </w:rPr>
        <w:t xml:space="preserve"> 5th ed (O</w:t>
      </w:r>
      <w:r w:rsidR="00F9778E" w:rsidRPr="00A91170">
        <w:rPr>
          <w:rFonts w:ascii="Times New Roman" w:hAnsi="Times New Roman" w:cs="Times New Roman"/>
          <w:sz w:val="21"/>
          <w:szCs w:val="21"/>
        </w:rPr>
        <w:t xml:space="preserve">xford </w:t>
      </w:r>
      <w:r w:rsidRPr="00A91170">
        <w:rPr>
          <w:rFonts w:ascii="Times New Roman" w:hAnsi="Times New Roman" w:cs="Times New Roman"/>
          <w:sz w:val="21"/>
          <w:szCs w:val="21"/>
        </w:rPr>
        <w:t>U</w:t>
      </w:r>
      <w:r w:rsidR="00F9778E" w:rsidRPr="00A91170">
        <w:rPr>
          <w:rFonts w:ascii="Times New Roman" w:hAnsi="Times New Roman" w:cs="Times New Roman"/>
          <w:sz w:val="21"/>
          <w:szCs w:val="21"/>
        </w:rPr>
        <w:t xml:space="preserve">niversity </w:t>
      </w:r>
      <w:r w:rsidRPr="00A91170">
        <w:rPr>
          <w:rFonts w:ascii="Times New Roman" w:hAnsi="Times New Roman" w:cs="Times New Roman"/>
          <w:sz w:val="21"/>
          <w:szCs w:val="21"/>
        </w:rPr>
        <w:t>P</w:t>
      </w:r>
      <w:r w:rsidR="00F9778E" w:rsidRPr="00A91170">
        <w:rPr>
          <w:rFonts w:ascii="Times New Roman" w:hAnsi="Times New Roman" w:cs="Times New Roman"/>
          <w:sz w:val="21"/>
          <w:szCs w:val="21"/>
        </w:rPr>
        <w:t>ress</w:t>
      </w:r>
      <w:r w:rsidRPr="00A91170">
        <w:rPr>
          <w:rFonts w:ascii="Times New Roman" w:hAnsi="Times New Roman" w:cs="Times New Roman"/>
          <w:sz w:val="21"/>
          <w:szCs w:val="21"/>
        </w:rPr>
        <w:t xml:space="preserve"> 2023) at p 597-8, citing inter alia </w:t>
      </w:r>
      <w:r w:rsidRPr="00A91170">
        <w:rPr>
          <w:rFonts w:ascii="Times New Roman" w:hAnsi="Times New Roman" w:cs="Times New Roman"/>
          <w:i/>
          <w:iCs/>
          <w:sz w:val="21"/>
          <w:szCs w:val="21"/>
        </w:rPr>
        <w:t>Vereinigung Demokratischer Soldaten Österreichs and Gubi v Austria</w:t>
      </w:r>
      <w:r w:rsidRPr="00A91170">
        <w:rPr>
          <w:rFonts w:ascii="Times New Roman" w:hAnsi="Times New Roman" w:cs="Times New Roman"/>
          <w:sz w:val="21"/>
          <w:szCs w:val="21"/>
        </w:rPr>
        <w:t xml:space="preserve"> (Application no. 15153/89) Judgment of 19 December 1994.</w:t>
      </w:r>
    </w:p>
  </w:footnote>
  <w:footnote w:id="9">
    <w:p w14:paraId="21A71080" w14:textId="77777777" w:rsidR="005B6C51" w:rsidRDefault="007F1D93" w:rsidP="001B156C">
      <w:pPr>
        <w:pStyle w:val="FootnoteText"/>
        <w:ind w:left="142" w:hanging="142"/>
        <w:jc w:val="both"/>
        <w:rPr>
          <w:rFonts w:ascii="Times New Roman" w:hAnsi="Times New Roman" w:cs="Times New Roman"/>
          <w:sz w:val="21"/>
          <w:szCs w:val="21"/>
        </w:rPr>
      </w:pPr>
      <w:r w:rsidRPr="00A91170">
        <w:rPr>
          <w:rStyle w:val="FootnoteReference"/>
          <w:rFonts w:ascii="Times New Roman" w:hAnsi="Times New Roman" w:cs="Times New Roman"/>
          <w:sz w:val="21"/>
          <w:szCs w:val="21"/>
        </w:rPr>
        <w:footnoteRef/>
      </w:r>
      <w:r w:rsidRPr="00A91170">
        <w:rPr>
          <w:rFonts w:ascii="Times New Roman" w:hAnsi="Times New Roman" w:cs="Times New Roman"/>
          <w:sz w:val="21"/>
          <w:szCs w:val="21"/>
        </w:rPr>
        <w:t xml:space="preserve"> The Court has considered the following, </w:t>
      </w:r>
      <w:r w:rsidRPr="005B6C51">
        <w:rPr>
          <w:rFonts w:ascii="Times New Roman" w:hAnsi="Times New Roman" w:cs="Times New Roman"/>
          <w:sz w:val="21"/>
          <w:szCs w:val="21"/>
          <w:u w:val="single"/>
        </w:rPr>
        <w:t>non-exhaustive</w:t>
      </w:r>
      <w:r w:rsidR="005B6C51">
        <w:rPr>
          <w:rFonts w:ascii="Times New Roman" w:hAnsi="Times New Roman" w:cs="Times New Roman"/>
          <w:sz w:val="21"/>
          <w:szCs w:val="21"/>
        </w:rPr>
        <w:t>,</w:t>
      </w:r>
      <w:r w:rsidRPr="00A91170">
        <w:rPr>
          <w:rFonts w:ascii="Times New Roman" w:hAnsi="Times New Roman" w:cs="Times New Roman"/>
          <w:sz w:val="21"/>
          <w:szCs w:val="21"/>
        </w:rPr>
        <w:t xml:space="preserve"> list of forms of disruptive protest to fall under the protections of the Convention: </w:t>
      </w:r>
    </w:p>
    <w:p w14:paraId="1081EEC1" w14:textId="77777777" w:rsidR="005B6C51" w:rsidRPr="005B6C51" w:rsidRDefault="007F1D93" w:rsidP="005B6C51">
      <w:pPr>
        <w:pStyle w:val="FootnoteText"/>
        <w:numPr>
          <w:ilvl w:val="0"/>
          <w:numId w:val="20"/>
        </w:numPr>
        <w:jc w:val="both"/>
        <w:rPr>
          <w:rFonts w:ascii="Times New Roman" w:hAnsi="Times New Roman" w:cs="Times New Roman"/>
          <w:sz w:val="21"/>
          <w:szCs w:val="21"/>
        </w:rPr>
      </w:pPr>
      <w:r w:rsidRPr="00A91170">
        <w:rPr>
          <w:rFonts w:ascii="Times New Roman" w:hAnsi="Times New Roman" w:cs="Times New Roman"/>
          <w:sz w:val="21"/>
          <w:szCs w:val="21"/>
          <w:lang w:val="en-IE"/>
        </w:rPr>
        <w:t>obstructing machinery to impede engineering works by environmental activists (</w:t>
      </w:r>
      <w:r w:rsidRPr="00A91170">
        <w:rPr>
          <w:rFonts w:ascii="Times New Roman" w:hAnsi="Times New Roman" w:cs="Times New Roman"/>
          <w:i/>
          <w:iCs/>
          <w:sz w:val="21"/>
          <w:szCs w:val="21"/>
          <w:lang w:val="en-IE"/>
        </w:rPr>
        <w:t>Steel and Others v</w:t>
      </w:r>
      <w:r w:rsidR="00A91170" w:rsidRPr="00A91170">
        <w:rPr>
          <w:rFonts w:ascii="Times New Roman" w:hAnsi="Times New Roman" w:cs="Times New Roman"/>
          <w:i/>
          <w:iCs/>
          <w:sz w:val="21"/>
          <w:szCs w:val="21"/>
          <w:lang w:val="en-IE"/>
        </w:rPr>
        <w:t>.</w:t>
      </w:r>
      <w:r w:rsidRPr="00A91170">
        <w:rPr>
          <w:rFonts w:ascii="Times New Roman" w:hAnsi="Times New Roman" w:cs="Times New Roman"/>
          <w:i/>
          <w:iCs/>
          <w:sz w:val="21"/>
          <w:szCs w:val="21"/>
          <w:lang w:val="en-IE"/>
        </w:rPr>
        <w:t xml:space="preserve"> UK</w:t>
      </w:r>
      <w:r w:rsidRPr="00A91170">
        <w:rPr>
          <w:rFonts w:ascii="Times New Roman" w:hAnsi="Times New Roman" w:cs="Times New Roman"/>
          <w:sz w:val="21"/>
          <w:szCs w:val="21"/>
          <w:lang w:val="en-IE"/>
        </w:rPr>
        <w:t xml:space="preserve"> App no 24838/94 (23 September 1998) § 92.</w:t>
      </w:r>
      <w:r w:rsidRPr="00A91170">
        <w:rPr>
          <w:rFonts w:ascii="Times New Roman" w:hAnsi="Times New Roman" w:cs="Times New Roman"/>
          <w:sz w:val="21"/>
          <w:szCs w:val="21"/>
          <w:lang w:val="en-IE"/>
        </w:rPr>
        <w:t xml:space="preserve">); </w:t>
      </w:r>
    </w:p>
    <w:p w14:paraId="1A8D9F6E" w14:textId="77777777" w:rsidR="005B6C51" w:rsidRPr="005B6C51" w:rsidRDefault="007F1D93" w:rsidP="005B6C51">
      <w:pPr>
        <w:pStyle w:val="FootnoteText"/>
        <w:numPr>
          <w:ilvl w:val="0"/>
          <w:numId w:val="20"/>
        </w:numPr>
        <w:jc w:val="both"/>
        <w:rPr>
          <w:rFonts w:ascii="Times New Roman" w:hAnsi="Times New Roman" w:cs="Times New Roman"/>
          <w:sz w:val="21"/>
          <w:szCs w:val="21"/>
        </w:rPr>
      </w:pPr>
      <w:r w:rsidRPr="00A91170">
        <w:rPr>
          <w:rFonts w:ascii="Times New Roman" w:hAnsi="Times New Roman" w:cs="Times New Roman"/>
          <w:sz w:val="21"/>
          <w:szCs w:val="21"/>
          <w:lang w:val="en-IE"/>
        </w:rPr>
        <w:t>using ‘go-slow’ walking techniques to repeatedly and intentionally block a public highway (</w:t>
      </w:r>
      <w:r w:rsidRPr="00A91170">
        <w:rPr>
          <w:rFonts w:ascii="Times New Roman" w:hAnsi="Times New Roman" w:cs="Times New Roman"/>
          <w:i/>
          <w:iCs/>
          <w:sz w:val="21"/>
          <w:szCs w:val="21"/>
          <w:lang w:val="en-IE"/>
        </w:rPr>
        <w:t>Barraco v</w:t>
      </w:r>
      <w:r w:rsidR="00A91170" w:rsidRPr="00A91170">
        <w:rPr>
          <w:rFonts w:ascii="Times New Roman" w:hAnsi="Times New Roman" w:cs="Times New Roman"/>
          <w:i/>
          <w:iCs/>
          <w:sz w:val="21"/>
          <w:szCs w:val="21"/>
          <w:lang w:val="en-IE"/>
        </w:rPr>
        <w:t>.</w:t>
      </w:r>
      <w:r w:rsidRPr="00A91170">
        <w:rPr>
          <w:rFonts w:ascii="Times New Roman" w:hAnsi="Times New Roman" w:cs="Times New Roman"/>
          <w:i/>
          <w:iCs/>
          <w:sz w:val="21"/>
          <w:szCs w:val="21"/>
          <w:lang w:val="en-IE"/>
        </w:rPr>
        <w:t xml:space="preserve"> France </w:t>
      </w:r>
      <w:r w:rsidRPr="00A91170">
        <w:rPr>
          <w:rFonts w:ascii="Times New Roman" w:hAnsi="Times New Roman" w:cs="Times New Roman"/>
          <w:sz w:val="21"/>
          <w:szCs w:val="21"/>
          <w:lang w:val="en-IE"/>
        </w:rPr>
        <w:t xml:space="preserve">App no 31684/05 (5 June 2009).); </w:t>
      </w:r>
    </w:p>
    <w:p w14:paraId="5188CCE5" w14:textId="77777777" w:rsidR="005B6C51" w:rsidRPr="005B6C51" w:rsidRDefault="007F1D93" w:rsidP="005B6C51">
      <w:pPr>
        <w:pStyle w:val="FootnoteText"/>
        <w:numPr>
          <w:ilvl w:val="0"/>
          <w:numId w:val="20"/>
        </w:numPr>
        <w:jc w:val="both"/>
        <w:rPr>
          <w:rFonts w:ascii="Times New Roman" w:hAnsi="Times New Roman" w:cs="Times New Roman"/>
          <w:sz w:val="21"/>
          <w:szCs w:val="21"/>
        </w:rPr>
      </w:pPr>
      <w:r w:rsidRPr="00A91170">
        <w:rPr>
          <w:rFonts w:ascii="Times New Roman" w:hAnsi="Times New Roman" w:cs="Times New Roman"/>
          <w:sz w:val="21"/>
          <w:szCs w:val="21"/>
          <w:lang w:val="en-IE"/>
        </w:rPr>
        <w:t>protesting in a courthouse by chanting slogans, displaying banners and throwing leaflets for an hour, impeding hearings (</w:t>
      </w:r>
      <w:r w:rsidRPr="00A91170">
        <w:rPr>
          <w:rFonts w:ascii="Times New Roman" w:hAnsi="Times New Roman" w:cs="Times New Roman"/>
          <w:i/>
          <w:iCs/>
          <w:sz w:val="21"/>
          <w:szCs w:val="21"/>
          <w:lang w:val="en-IE"/>
        </w:rPr>
        <w:t>Ekrem Can and Others v</w:t>
      </w:r>
      <w:r w:rsidR="00A91170" w:rsidRPr="00A91170">
        <w:rPr>
          <w:rFonts w:ascii="Times New Roman" w:hAnsi="Times New Roman" w:cs="Times New Roman"/>
          <w:i/>
          <w:iCs/>
          <w:sz w:val="21"/>
          <w:szCs w:val="21"/>
          <w:lang w:val="en-IE"/>
        </w:rPr>
        <w:t>.</w:t>
      </w:r>
      <w:r w:rsidRPr="00A91170">
        <w:rPr>
          <w:rFonts w:ascii="Times New Roman" w:hAnsi="Times New Roman" w:cs="Times New Roman"/>
          <w:i/>
          <w:iCs/>
          <w:sz w:val="21"/>
          <w:szCs w:val="21"/>
          <w:lang w:val="en-IE"/>
        </w:rPr>
        <w:t xml:space="preserve"> Turkey</w:t>
      </w:r>
      <w:r w:rsidRPr="00A91170">
        <w:rPr>
          <w:rFonts w:ascii="Times New Roman" w:hAnsi="Times New Roman" w:cs="Times New Roman"/>
          <w:sz w:val="21"/>
          <w:szCs w:val="21"/>
          <w:lang w:val="en-IE"/>
        </w:rPr>
        <w:t xml:space="preserve"> App no 10613/10 (5 September 2022).); </w:t>
      </w:r>
    </w:p>
    <w:p w14:paraId="19A6C5C9" w14:textId="07980561" w:rsidR="005B6C51" w:rsidRPr="005B6C51" w:rsidRDefault="007F1D93" w:rsidP="005B6C51">
      <w:pPr>
        <w:pStyle w:val="FootnoteText"/>
        <w:numPr>
          <w:ilvl w:val="0"/>
          <w:numId w:val="20"/>
        </w:numPr>
        <w:jc w:val="both"/>
        <w:rPr>
          <w:rFonts w:ascii="Times New Roman" w:hAnsi="Times New Roman" w:cs="Times New Roman"/>
          <w:sz w:val="21"/>
          <w:szCs w:val="21"/>
        </w:rPr>
      </w:pPr>
      <w:r w:rsidRPr="00A91170">
        <w:rPr>
          <w:rFonts w:ascii="Times New Roman" w:hAnsi="Times New Roman" w:cs="Times New Roman"/>
          <w:sz w:val="21"/>
          <w:szCs w:val="21"/>
          <w:lang w:val="en-IE"/>
        </w:rPr>
        <w:t>blocking major roads for approximately two days, creating significant road delays and cross-border trade disruption in protest over agricultural subsidy reforms (</w:t>
      </w:r>
      <w:r w:rsidRPr="00A91170">
        <w:rPr>
          <w:rFonts w:ascii="Times New Roman" w:hAnsi="Times New Roman" w:cs="Times New Roman"/>
          <w:i/>
          <w:iCs/>
          <w:sz w:val="21"/>
          <w:szCs w:val="21"/>
          <w:lang w:val="en-IE"/>
        </w:rPr>
        <w:t>Kudrevičius and Others v</w:t>
      </w:r>
      <w:r w:rsidR="00A91170" w:rsidRPr="00A91170">
        <w:rPr>
          <w:rFonts w:ascii="Times New Roman" w:hAnsi="Times New Roman" w:cs="Times New Roman"/>
          <w:i/>
          <w:iCs/>
          <w:sz w:val="21"/>
          <w:szCs w:val="21"/>
          <w:lang w:val="en-IE"/>
        </w:rPr>
        <w:t>.</w:t>
      </w:r>
      <w:r w:rsidRPr="00A91170">
        <w:rPr>
          <w:rFonts w:ascii="Times New Roman" w:hAnsi="Times New Roman" w:cs="Times New Roman"/>
          <w:i/>
          <w:iCs/>
          <w:sz w:val="21"/>
          <w:szCs w:val="21"/>
          <w:lang w:val="en-IE"/>
        </w:rPr>
        <w:t xml:space="preserve"> Lithuania</w:t>
      </w:r>
      <w:r w:rsidRPr="00A91170">
        <w:rPr>
          <w:rFonts w:ascii="Times New Roman" w:hAnsi="Times New Roman" w:cs="Times New Roman"/>
          <w:sz w:val="21"/>
          <w:szCs w:val="21"/>
          <w:lang w:val="en-IE"/>
        </w:rPr>
        <w:t xml:space="preserve"> App no 37553/05 (15 October 2015).); and </w:t>
      </w:r>
    </w:p>
    <w:p w14:paraId="66F489BA" w14:textId="3309CA68" w:rsidR="007F1D93" w:rsidRPr="00A91170" w:rsidRDefault="007F1D93" w:rsidP="005B6C51">
      <w:pPr>
        <w:pStyle w:val="FootnoteText"/>
        <w:numPr>
          <w:ilvl w:val="0"/>
          <w:numId w:val="20"/>
        </w:numPr>
        <w:jc w:val="both"/>
        <w:rPr>
          <w:rFonts w:ascii="Times New Roman" w:hAnsi="Times New Roman" w:cs="Times New Roman"/>
          <w:sz w:val="21"/>
          <w:szCs w:val="21"/>
        </w:rPr>
      </w:pPr>
      <w:r w:rsidRPr="00A91170">
        <w:rPr>
          <w:rFonts w:ascii="Times New Roman" w:hAnsi="Times New Roman" w:cs="Times New Roman"/>
          <w:sz w:val="21"/>
          <w:szCs w:val="21"/>
          <w:lang w:val="en-IE"/>
        </w:rPr>
        <w:t>impeding the scheduled eviction of squatters, the foreseeable result of which was to impede the activities of others (</w:t>
      </w:r>
      <w:r w:rsidRPr="00A91170">
        <w:rPr>
          <w:rFonts w:ascii="Times New Roman" w:hAnsi="Times New Roman" w:cs="Times New Roman"/>
          <w:i/>
          <w:iCs/>
          <w:sz w:val="21"/>
          <w:szCs w:val="21"/>
          <w:lang w:val="en-IE"/>
        </w:rPr>
        <w:t>Laurijsen and Others v</w:t>
      </w:r>
      <w:r w:rsidR="00A91170" w:rsidRPr="00A91170">
        <w:rPr>
          <w:rFonts w:ascii="Times New Roman" w:hAnsi="Times New Roman" w:cs="Times New Roman"/>
          <w:i/>
          <w:iCs/>
          <w:sz w:val="21"/>
          <w:szCs w:val="21"/>
          <w:lang w:val="en-IE"/>
        </w:rPr>
        <w:t>.</w:t>
      </w:r>
      <w:r w:rsidRPr="00A91170">
        <w:rPr>
          <w:rFonts w:ascii="Times New Roman" w:hAnsi="Times New Roman" w:cs="Times New Roman"/>
          <w:i/>
          <w:iCs/>
          <w:sz w:val="21"/>
          <w:szCs w:val="21"/>
          <w:lang w:val="en-IE"/>
        </w:rPr>
        <w:t xml:space="preserve"> the Netherlands)</w:t>
      </w:r>
    </w:p>
  </w:footnote>
  <w:footnote w:id="10">
    <w:p w14:paraId="1404DC50" w14:textId="21583B02" w:rsidR="00732DEC" w:rsidRPr="00A91170" w:rsidRDefault="00732DEC" w:rsidP="001B156C">
      <w:pPr>
        <w:pStyle w:val="FootnoteText"/>
        <w:ind w:left="142" w:hanging="142"/>
        <w:jc w:val="both"/>
        <w:rPr>
          <w:rFonts w:ascii="Times New Roman" w:hAnsi="Times New Roman" w:cs="Times New Roman"/>
          <w:sz w:val="21"/>
          <w:szCs w:val="21"/>
        </w:rPr>
      </w:pPr>
      <w:r w:rsidRPr="00A91170">
        <w:rPr>
          <w:rStyle w:val="FootnoteReference"/>
          <w:rFonts w:ascii="Times New Roman" w:hAnsi="Times New Roman" w:cs="Times New Roman"/>
          <w:sz w:val="21"/>
          <w:szCs w:val="21"/>
        </w:rPr>
        <w:footnoteRef/>
      </w:r>
      <w:r w:rsidRPr="00A91170">
        <w:rPr>
          <w:rFonts w:ascii="Times New Roman" w:hAnsi="Times New Roman" w:cs="Times New Roman"/>
          <w:sz w:val="21"/>
          <w:szCs w:val="21"/>
        </w:rPr>
        <w:t xml:space="preserve"> See e.g. </w:t>
      </w:r>
      <w:r w:rsidRPr="00A91170">
        <w:rPr>
          <w:rFonts w:ascii="Times New Roman" w:hAnsi="Times New Roman" w:cs="Times New Roman"/>
          <w:i/>
          <w:iCs/>
          <w:sz w:val="21"/>
          <w:szCs w:val="21"/>
        </w:rPr>
        <w:t>Baldassi and others v</w:t>
      </w:r>
      <w:r w:rsidR="00A91170" w:rsidRPr="00A91170">
        <w:rPr>
          <w:rFonts w:ascii="Times New Roman" w:hAnsi="Times New Roman" w:cs="Times New Roman"/>
          <w:i/>
          <w:iCs/>
          <w:sz w:val="21"/>
          <w:szCs w:val="21"/>
        </w:rPr>
        <w:t>.</w:t>
      </w:r>
      <w:r w:rsidRPr="00A91170">
        <w:rPr>
          <w:rFonts w:ascii="Times New Roman" w:hAnsi="Times New Roman" w:cs="Times New Roman"/>
          <w:i/>
          <w:iCs/>
          <w:sz w:val="21"/>
          <w:szCs w:val="21"/>
        </w:rPr>
        <w:t xml:space="preserve"> France</w:t>
      </w:r>
      <w:r w:rsidRPr="00A91170">
        <w:rPr>
          <w:rFonts w:ascii="Times New Roman" w:hAnsi="Times New Roman" w:cs="Times New Roman"/>
          <w:sz w:val="21"/>
          <w:szCs w:val="21"/>
        </w:rPr>
        <w:t xml:space="preserve"> (Application no. 15271/16 and 6 others; 11 June 2020) at §62.</w:t>
      </w:r>
    </w:p>
  </w:footnote>
  <w:footnote w:id="11">
    <w:p w14:paraId="1984A9F5" w14:textId="77777777" w:rsidR="00732DEC" w:rsidRPr="00A91170" w:rsidRDefault="00732DEC" w:rsidP="001B156C">
      <w:pPr>
        <w:pStyle w:val="FootnoteText"/>
        <w:ind w:left="142" w:hanging="142"/>
        <w:jc w:val="both"/>
        <w:rPr>
          <w:rFonts w:ascii="Times New Roman" w:hAnsi="Times New Roman" w:cs="Times New Roman"/>
          <w:sz w:val="21"/>
          <w:szCs w:val="21"/>
        </w:rPr>
      </w:pPr>
      <w:r w:rsidRPr="00A91170">
        <w:rPr>
          <w:rStyle w:val="FootnoteReference"/>
          <w:rFonts w:ascii="Times New Roman" w:hAnsi="Times New Roman" w:cs="Times New Roman"/>
          <w:sz w:val="21"/>
          <w:szCs w:val="21"/>
        </w:rPr>
        <w:footnoteRef/>
      </w:r>
      <w:r w:rsidRPr="00A91170">
        <w:rPr>
          <w:rFonts w:ascii="Times New Roman" w:hAnsi="Times New Roman" w:cs="Times New Roman"/>
          <w:sz w:val="21"/>
          <w:szCs w:val="21"/>
        </w:rPr>
        <w:t xml:space="preserve"> </w:t>
      </w:r>
      <w:r w:rsidRPr="00A44B1C">
        <w:rPr>
          <w:rFonts w:ascii="Times New Roman" w:hAnsi="Times New Roman" w:cs="Times New Roman"/>
          <w:i/>
          <w:iCs/>
          <w:sz w:val="21"/>
          <w:szCs w:val="21"/>
        </w:rPr>
        <w:t>Steel and Others v the United Kingdom</w:t>
      </w:r>
      <w:r w:rsidRPr="00A91170">
        <w:rPr>
          <w:rFonts w:ascii="Times New Roman" w:hAnsi="Times New Roman" w:cs="Times New Roman"/>
          <w:sz w:val="21"/>
          <w:szCs w:val="21"/>
        </w:rPr>
        <w:t xml:space="preserve"> (Application no. 24838/94; 23 September 1998 at §92.</w:t>
      </w:r>
    </w:p>
  </w:footnote>
  <w:footnote w:id="12">
    <w:p w14:paraId="215602F6" w14:textId="63F34008" w:rsidR="00234736" w:rsidRPr="00234736" w:rsidRDefault="00234736" w:rsidP="00234736">
      <w:pPr>
        <w:pStyle w:val="FootnoteText"/>
        <w:jc w:val="both"/>
        <w:rPr>
          <w:rFonts w:ascii="Times New Roman" w:eastAsia="Times New Roman" w:hAnsi="Times New Roman" w:cs="Times New Roman"/>
          <w:lang w:eastAsia="en-GB"/>
        </w:rPr>
      </w:pPr>
      <w:r>
        <w:rPr>
          <w:rStyle w:val="FootnoteReference"/>
        </w:rPr>
        <w:footnoteRef/>
      </w:r>
      <w:r>
        <w:t xml:space="preserve"> </w:t>
      </w:r>
      <w:r>
        <w:rPr>
          <w:rFonts w:ascii="Times New Roman" w:eastAsia="Times New Roman" w:hAnsi="Times New Roman" w:cs="Times New Roman"/>
          <w:lang w:eastAsia="en-GB"/>
        </w:rPr>
        <w:t xml:space="preserve">In </w:t>
      </w:r>
      <w:r w:rsidRPr="008C25EF">
        <w:rPr>
          <w:rFonts w:ascii="Times New Roman" w:eastAsia="Times New Roman" w:hAnsi="Times New Roman" w:cs="Times New Roman"/>
          <w:lang w:eastAsia="en-GB"/>
        </w:rPr>
        <w:t xml:space="preserve">a separate Opinion, Judge </w:t>
      </w:r>
      <w:r>
        <w:rPr>
          <w:rFonts w:ascii="Times New Roman" w:eastAsia="Times New Roman" w:hAnsi="Times New Roman" w:cs="Times New Roman"/>
          <w:lang w:eastAsia="en-GB"/>
        </w:rPr>
        <w:t xml:space="preserve">Síofra </w:t>
      </w:r>
      <w:r w:rsidRPr="008C25EF">
        <w:rPr>
          <w:rFonts w:ascii="Times New Roman" w:eastAsia="Times New Roman" w:hAnsi="Times New Roman" w:cs="Times New Roman"/>
          <w:lang w:eastAsia="en-GB"/>
        </w:rPr>
        <w:t>O’Leary agreed with the finding of a violation of Article 10</w:t>
      </w:r>
      <w:r>
        <w:rPr>
          <w:rFonts w:ascii="Times New Roman" w:eastAsia="Times New Roman" w:hAnsi="Times New Roman" w:cs="Times New Roman"/>
          <w:lang w:eastAsia="en-GB"/>
        </w:rPr>
        <w:t xml:space="preserve"> </w:t>
      </w:r>
      <w:r w:rsidRPr="008C25EF">
        <w:rPr>
          <w:rFonts w:ascii="Times New Roman" w:eastAsia="Times New Roman" w:hAnsi="Times New Roman" w:cs="Times New Roman"/>
          <w:lang w:eastAsia="en-GB"/>
        </w:rPr>
        <w:t>but dissented</w:t>
      </w:r>
      <w:r>
        <w:rPr>
          <w:rFonts w:ascii="Times New Roman" w:eastAsia="Times New Roman" w:hAnsi="Times New Roman" w:cs="Times New Roman"/>
          <w:lang w:eastAsia="en-GB"/>
        </w:rPr>
        <w:t xml:space="preserve"> </w:t>
      </w:r>
      <w:r w:rsidRPr="008C25EF">
        <w:rPr>
          <w:rFonts w:ascii="Times New Roman" w:eastAsia="Times New Roman" w:hAnsi="Times New Roman" w:cs="Times New Roman"/>
          <w:lang w:eastAsia="en-GB"/>
        </w:rPr>
        <w:t>in that she would also have found a violation of Article 7</w:t>
      </w:r>
      <w:r>
        <w:rPr>
          <w:rFonts w:ascii="Times New Roman" w:eastAsia="Times New Roman" w:hAnsi="Times New Roman" w:cs="Times New Roman"/>
          <w:lang w:eastAsia="en-GB"/>
        </w:rPr>
        <w:t xml:space="preserve"> – fair criminal trial.</w:t>
      </w:r>
    </w:p>
  </w:footnote>
  <w:footnote w:id="13">
    <w:p w14:paraId="2089BCCB" w14:textId="60352DC0" w:rsidR="00534BFC" w:rsidRPr="002853E9" w:rsidRDefault="00534BFC" w:rsidP="00234736">
      <w:pPr>
        <w:pStyle w:val="FootnoteText"/>
        <w:ind w:left="142" w:hanging="142"/>
        <w:jc w:val="both"/>
        <w:rPr>
          <w:rFonts w:ascii="Times New Roman" w:hAnsi="Times New Roman" w:cs="Times New Roman"/>
          <w:sz w:val="21"/>
          <w:szCs w:val="21"/>
        </w:rPr>
      </w:pPr>
      <w:r w:rsidRPr="002853E9">
        <w:rPr>
          <w:rStyle w:val="FootnoteReference"/>
          <w:rFonts w:ascii="Times New Roman" w:hAnsi="Times New Roman" w:cs="Times New Roman"/>
          <w:sz w:val="21"/>
          <w:szCs w:val="21"/>
        </w:rPr>
        <w:footnoteRef/>
      </w:r>
      <w:r w:rsidRPr="002853E9">
        <w:rPr>
          <w:rFonts w:ascii="Times New Roman" w:hAnsi="Times New Roman" w:cs="Times New Roman"/>
          <w:sz w:val="21"/>
          <w:szCs w:val="21"/>
        </w:rPr>
        <w:t xml:space="preserve"> Another finding of a violation of Article 10 on the basis that the interference was not “prescribed by law”</w:t>
      </w:r>
      <w:r w:rsidR="00234736">
        <w:rPr>
          <w:rFonts w:ascii="Times New Roman" w:hAnsi="Times New Roman" w:cs="Times New Roman"/>
          <w:sz w:val="21"/>
          <w:szCs w:val="21"/>
        </w:rPr>
        <w:t xml:space="preserve"> </w:t>
      </w:r>
      <w:r w:rsidRPr="002853E9">
        <w:rPr>
          <w:rFonts w:ascii="Times New Roman" w:hAnsi="Times New Roman" w:cs="Times New Roman"/>
          <w:sz w:val="21"/>
          <w:szCs w:val="21"/>
        </w:rPr>
        <w:t xml:space="preserve">is </w:t>
      </w:r>
      <w:r w:rsidRPr="002853E9">
        <w:rPr>
          <w:rFonts w:ascii="Times New Roman" w:hAnsi="Times New Roman" w:cs="Times New Roman"/>
          <w:i/>
          <w:iCs/>
          <w:sz w:val="21"/>
          <w:szCs w:val="21"/>
        </w:rPr>
        <w:t>Hashman and Harrup v</w:t>
      </w:r>
      <w:r w:rsidR="002853E9">
        <w:rPr>
          <w:rFonts w:ascii="Times New Roman" w:hAnsi="Times New Roman" w:cs="Times New Roman"/>
          <w:i/>
          <w:iCs/>
          <w:sz w:val="21"/>
          <w:szCs w:val="21"/>
        </w:rPr>
        <w:t>.</w:t>
      </w:r>
      <w:r w:rsidRPr="002853E9">
        <w:rPr>
          <w:rFonts w:ascii="Times New Roman" w:hAnsi="Times New Roman" w:cs="Times New Roman"/>
          <w:i/>
          <w:iCs/>
          <w:sz w:val="21"/>
          <w:szCs w:val="21"/>
        </w:rPr>
        <w:t xml:space="preserve"> United Kingdom</w:t>
      </w:r>
      <w:r w:rsidRPr="002853E9">
        <w:rPr>
          <w:rFonts w:ascii="Times New Roman" w:hAnsi="Times New Roman" w:cs="Times New Roman"/>
          <w:sz w:val="21"/>
          <w:szCs w:val="21"/>
        </w:rPr>
        <w:t xml:space="preserve"> (Application no. 25594/94; 25 November 1999). There a majority of the Grand Chamber found the requirement not to behave “</w:t>
      </w:r>
      <w:r w:rsidRPr="002853E9">
        <w:rPr>
          <w:rFonts w:ascii="Times New Roman" w:hAnsi="Times New Roman" w:cs="Times New Roman"/>
          <w:i/>
          <w:iCs/>
          <w:sz w:val="21"/>
          <w:szCs w:val="21"/>
        </w:rPr>
        <w:t xml:space="preserve">contra </w:t>
      </w:r>
      <w:r w:rsidRPr="002853E9">
        <w:rPr>
          <w:rFonts w:ascii="Times New Roman" w:hAnsi="Times New Roman" w:cs="Times New Roman"/>
          <w:i/>
          <w:iCs/>
          <w:sz w:val="21"/>
          <w:szCs w:val="21"/>
        </w:rPr>
        <w:t>bonos mores</w:t>
      </w:r>
      <w:r w:rsidRPr="002853E9">
        <w:rPr>
          <w:rFonts w:ascii="Times New Roman" w:hAnsi="Times New Roman" w:cs="Times New Roman"/>
          <w:sz w:val="21"/>
          <w:szCs w:val="21"/>
        </w:rPr>
        <w:t>” impermissibly imprecise. This was cited by the UK</w:t>
      </w:r>
      <w:r w:rsidR="002853E9">
        <w:rPr>
          <w:rFonts w:ascii="Times New Roman" w:hAnsi="Times New Roman" w:cs="Times New Roman"/>
          <w:sz w:val="21"/>
          <w:szCs w:val="21"/>
        </w:rPr>
        <w:t xml:space="preserve"> </w:t>
      </w:r>
      <w:r w:rsidRPr="002853E9">
        <w:rPr>
          <w:rFonts w:ascii="Times New Roman" w:hAnsi="Times New Roman" w:cs="Times New Roman"/>
          <w:sz w:val="21"/>
          <w:szCs w:val="21"/>
        </w:rPr>
        <w:t>S</w:t>
      </w:r>
      <w:r w:rsidR="002853E9">
        <w:rPr>
          <w:rFonts w:ascii="Times New Roman" w:hAnsi="Times New Roman" w:cs="Times New Roman"/>
          <w:sz w:val="21"/>
          <w:szCs w:val="21"/>
        </w:rPr>
        <w:t>upreme Court</w:t>
      </w:r>
      <w:r w:rsidRPr="002853E9">
        <w:rPr>
          <w:rFonts w:ascii="Times New Roman" w:hAnsi="Times New Roman" w:cs="Times New Roman"/>
          <w:sz w:val="21"/>
          <w:szCs w:val="21"/>
        </w:rPr>
        <w:t xml:space="preserve"> in </w:t>
      </w:r>
      <w:r w:rsidRPr="002853E9">
        <w:rPr>
          <w:rFonts w:ascii="Times New Roman" w:hAnsi="Times New Roman" w:cs="Times New Roman"/>
          <w:i/>
          <w:iCs/>
          <w:sz w:val="21"/>
          <w:szCs w:val="21"/>
        </w:rPr>
        <w:t xml:space="preserve">Ziegler </w:t>
      </w:r>
      <w:r w:rsidRPr="002853E9">
        <w:rPr>
          <w:rFonts w:ascii="Times New Roman" w:hAnsi="Times New Roman" w:cs="Times New Roman"/>
          <w:sz w:val="21"/>
          <w:szCs w:val="21"/>
        </w:rPr>
        <w:t>(at §65), noting that “that deliberate obstructive conduct which has a more than de minimis impact on others still requires careful evaluation in determining proportionality”.</w:t>
      </w:r>
    </w:p>
  </w:footnote>
  <w:footnote w:id="14">
    <w:p w14:paraId="0CA87134" w14:textId="4CC5FC11" w:rsidR="0029500E" w:rsidRPr="00BE40BB" w:rsidRDefault="0029500E" w:rsidP="001B156C">
      <w:pPr>
        <w:pStyle w:val="FootnoteText"/>
        <w:ind w:left="142" w:hanging="142"/>
        <w:jc w:val="both"/>
        <w:rPr>
          <w:rFonts w:ascii="Times New Roman" w:hAnsi="Times New Roman" w:cs="Times New Roman"/>
          <w:sz w:val="21"/>
          <w:szCs w:val="21"/>
        </w:rPr>
      </w:pPr>
      <w:r w:rsidRPr="00BE40BB">
        <w:rPr>
          <w:rStyle w:val="FootnoteReference"/>
          <w:rFonts w:ascii="Times New Roman" w:hAnsi="Times New Roman" w:cs="Times New Roman"/>
          <w:sz w:val="21"/>
          <w:szCs w:val="21"/>
        </w:rPr>
        <w:footnoteRef/>
      </w:r>
      <w:r w:rsidRPr="00BE40BB">
        <w:rPr>
          <w:rFonts w:ascii="Times New Roman" w:hAnsi="Times New Roman" w:cs="Times New Roman"/>
          <w:sz w:val="21"/>
          <w:szCs w:val="21"/>
        </w:rPr>
        <w:t xml:space="preserve"> See similarly </w:t>
      </w:r>
      <w:r w:rsidRPr="009A291E">
        <w:rPr>
          <w:rFonts w:ascii="Times New Roman" w:hAnsi="Times New Roman" w:cs="Times New Roman"/>
          <w:i/>
          <w:iCs/>
          <w:sz w:val="21"/>
          <w:szCs w:val="21"/>
        </w:rPr>
        <w:t>Oya Ataman v</w:t>
      </w:r>
      <w:r w:rsidR="009A291E">
        <w:rPr>
          <w:rFonts w:ascii="Times New Roman" w:hAnsi="Times New Roman" w:cs="Times New Roman"/>
          <w:i/>
          <w:iCs/>
          <w:sz w:val="21"/>
          <w:szCs w:val="21"/>
        </w:rPr>
        <w:t>.</w:t>
      </w:r>
      <w:r w:rsidRPr="009A291E">
        <w:rPr>
          <w:rFonts w:ascii="Times New Roman" w:hAnsi="Times New Roman" w:cs="Times New Roman"/>
          <w:i/>
          <w:iCs/>
          <w:sz w:val="21"/>
          <w:szCs w:val="21"/>
        </w:rPr>
        <w:t xml:space="preserve"> Turkey</w:t>
      </w:r>
      <w:r w:rsidRPr="00BE40BB">
        <w:rPr>
          <w:rFonts w:ascii="Times New Roman" w:hAnsi="Times New Roman" w:cs="Times New Roman"/>
          <w:i/>
          <w:iCs/>
          <w:sz w:val="21"/>
          <w:szCs w:val="21"/>
        </w:rPr>
        <w:t xml:space="preserve"> </w:t>
      </w:r>
      <w:r w:rsidRPr="00BE40BB">
        <w:rPr>
          <w:rFonts w:ascii="Times New Roman" w:hAnsi="Times New Roman" w:cs="Times New Roman"/>
          <w:sz w:val="21"/>
          <w:szCs w:val="21"/>
        </w:rPr>
        <w:t>(App no 47552/01; 5 December 2006) at §42, where the Court commented that “</w:t>
      </w:r>
      <w:r w:rsidRPr="009A291E">
        <w:rPr>
          <w:rFonts w:ascii="Times New Roman" w:hAnsi="Times New Roman" w:cs="Times New Roman"/>
          <w:i/>
          <w:iCs/>
          <w:sz w:val="21"/>
          <w:szCs w:val="21"/>
        </w:rPr>
        <w:t>where demonstrators do not engage in acts of violence it is important for the public authorities to show a certain degree of tolerance towards peaceful gatherings if the freedom of assembly guaranteed by Article 11 of the Convention is not to be deprived of all substance</w:t>
      </w:r>
      <w:r w:rsidRPr="00BE40BB">
        <w:rPr>
          <w:rFonts w:ascii="Times New Roman" w:hAnsi="Times New Roman" w:cs="Times New Roman"/>
          <w:sz w:val="21"/>
          <w:szCs w:val="21"/>
        </w:rPr>
        <w:t>”.</w:t>
      </w:r>
    </w:p>
  </w:footnote>
  <w:footnote w:id="15">
    <w:p w14:paraId="34C86B3F" w14:textId="77777777" w:rsidR="00E15C85" w:rsidRPr="00BE40BB" w:rsidRDefault="00E15C85" w:rsidP="001B156C">
      <w:pPr>
        <w:pStyle w:val="FootnoteText"/>
        <w:ind w:left="142" w:hanging="142"/>
        <w:jc w:val="both"/>
        <w:rPr>
          <w:rFonts w:ascii="Times New Roman" w:hAnsi="Times New Roman" w:cs="Times New Roman"/>
          <w:sz w:val="21"/>
          <w:szCs w:val="21"/>
        </w:rPr>
      </w:pPr>
      <w:r w:rsidRPr="00BE40BB">
        <w:rPr>
          <w:rStyle w:val="FootnoteReference"/>
          <w:rFonts w:ascii="Times New Roman" w:hAnsi="Times New Roman" w:cs="Times New Roman"/>
          <w:sz w:val="21"/>
          <w:szCs w:val="21"/>
        </w:rPr>
        <w:footnoteRef/>
      </w:r>
      <w:r w:rsidRPr="00BE40BB">
        <w:rPr>
          <w:rFonts w:ascii="Times New Roman" w:hAnsi="Times New Roman" w:cs="Times New Roman"/>
          <w:sz w:val="21"/>
          <w:szCs w:val="21"/>
        </w:rPr>
        <w:t xml:space="preserve"> The </w:t>
      </w:r>
      <w:r w:rsidRPr="00BE40BB">
        <w:rPr>
          <w:rFonts w:ascii="Times New Roman" w:hAnsi="Times New Roman" w:cs="Times New Roman"/>
          <w:i/>
          <w:iCs/>
          <w:sz w:val="21"/>
          <w:szCs w:val="21"/>
        </w:rPr>
        <w:t xml:space="preserve">Thacker </w:t>
      </w:r>
      <w:r w:rsidRPr="00BE40BB">
        <w:rPr>
          <w:rFonts w:ascii="Times New Roman" w:hAnsi="Times New Roman" w:cs="Times New Roman"/>
          <w:sz w:val="21"/>
          <w:szCs w:val="21"/>
        </w:rPr>
        <w:t xml:space="preserve">case, for example, is discussed under the heading of “duress of circumstances” rather than under that of “necessity” in Smith, Hogan and Ormerod, </w:t>
      </w:r>
      <w:r w:rsidRPr="00BE40BB">
        <w:rPr>
          <w:rFonts w:ascii="Times New Roman" w:hAnsi="Times New Roman" w:cs="Times New Roman"/>
          <w:i/>
          <w:iCs/>
          <w:sz w:val="21"/>
          <w:szCs w:val="21"/>
        </w:rPr>
        <w:t xml:space="preserve">Criminal Law </w:t>
      </w:r>
      <w:r w:rsidRPr="00BE40BB">
        <w:rPr>
          <w:rFonts w:ascii="Times New Roman" w:hAnsi="Times New Roman" w:cs="Times New Roman"/>
          <w:sz w:val="21"/>
          <w:szCs w:val="21"/>
        </w:rPr>
        <w:t>(17</w:t>
      </w:r>
      <w:r w:rsidRPr="00BE40BB">
        <w:rPr>
          <w:rFonts w:ascii="Times New Roman" w:hAnsi="Times New Roman" w:cs="Times New Roman"/>
          <w:sz w:val="21"/>
          <w:szCs w:val="21"/>
          <w:vertAlign w:val="superscript"/>
        </w:rPr>
        <w:t>th</w:t>
      </w:r>
      <w:r w:rsidRPr="00BE40BB">
        <w:rPr>
          <w:rFonts w:ascii="Times New Roman" w:hAnsi="Times New Roman" w:cs="Times New Roman"/>
          <w:sz w:val="21"/>
          <w:szCs w:val="21"/>
        </w:rPr>
        <w:t xml:space="preserve"> edition, Oxford University Press, 2024). </w:t>
      </w:r>
    </w:p>
  </w:footnote>
  <w:footnote w:id="16">
    <w:p w14:paraId="560BCFE4" w14:textId="77777777" w:rsidR="001D63A3" w:rsidRPr="00CA2E57" w:rsidRDefault="001D63A3" w:rsidP="001B156C">
      <w:pPr>
        <w:pStyle w:val="FootnoteText"/>
        <w:ind w:left="142" w:hanging="142"/>
        <w:jc w:val="both"/>
        <w:rPr>
          <w:rFonts w:ascii="Times New Roman" w:hAnsi="Times New Roman" w:cs="Times New Roman"/>
          <w:sz w:val="21"/>
          <w:szCs w:val="21"/>
        </w:rPr>
      </w:pPr>
      <w:r w:rsidRPr="00CA2E57">
        <w:rPr>
          <w:rStyle w:val="FootnoteReference"/>
          <w:rFonts w:ascii="Times New Roman" w:hAnsi="Times New Roman" w:cs="Times New Roman"/>
          <w:sz w:val="21"/>
          <w:szCs w:val="21"/>
        </w:rPr>
        <w:footnoteRef/>
      </w:r>
      <w:r w:rsidRPr="00CA2E57">
        <w:rPr>
          <w:rFonts w:ascii="Times New Roman" w:hAnsi="Times New Roman" w:cs="Times New Roman"/>
          <w:sz w:val="21"/>
          <w:szCs w:val="21"/>
        </w:rPr>
        <w:t xml:space="preserve"> As Ashworth put it “</w:t>
      </w:r>
      <w:r w:rsidRPr="00CA2E57">
        <w:rPr>
          <w:rFonts w:ascii="Times New Roman" w:hAnsi="Times New Roman" w:cs="Times New Roman"/>
          <w:i/>
          <w:iCs/>
          <w:sz w:val="21"/>
          <w:szCs w:val="21"/>
          <w:lang w:val="en-IE"/>
        </w:rPr>
        <w:t>“… the development of duress and necessity in the common law has been characterised by the interplay of reasons of excuse and justification, and by the conflicts between recognising the pressure to which the defendant was subject to and upholding the rights of the victims of the attack</w:t>
      </w:r>
      <w:r w:rsidRPr="00CA2E57">
        <w:rPr>
          <w:rFonts w:ascii="Times New Roman" w:hAnsi="Times New Roman" w:cs="Times New Roman"/>
          <w:sz w:val="21"/>
          <w:szCs w:val="21"/>
          <w:lang w:val="en-IE"/>
        </w:rPr>
        <w:t>”</w:t>
      </w:r>
      <w:r w:rsidRPr="00CA2E57">
        <w:rPr>
          <w:rFonts w:ascii="Times New Roman" w:hAnsi="Times New Roman" w:cs="Times New Roman"/>
          <w:sz w:val="21"/>
          <w:szCs w:val="21"/>
        </w:rPr>
        <w:t xml:space="preserve">Andrew Ashworth, </w:t>
      </w:r>
      <w:r w:rsidRPr="00CA2E57">
        <w:rPr>
          <w:rFonts w:ascii="Times New Roman" w:hAnsi="Times New Roman" w:cs="Times New Roman"/>
          <w:i/>
          <w:iCs/>
          <w:sz w:val="21"/>
          <w:szCs w:val="21"/>
        </w:rPr>
        <w:t xml:space="preserve">Principles of Criminal Law </w:t>
      </w:r>
      <w:r w:rsidRPr="00CA2E57">
        <w:rPr>
          <w:rFonts w:ascii="Times New Roman" w:hAnsi="Times New Roman" w:cs="Times New Roman"/>
          <w:sz w:val="21"/>
          <w:szCs w:val="21"/>
        </w:rPr>
        <w:t xml:space="preserve"> (5</w:t>
      </w:r>
      <w:r w:rsidRPr="00CA2E57">
        <w:rPr>
          <w:rFonts w:ascii="Times New Roman" w:hAnsi="Times New Roman" w:cs="Times New Roman"/>
          <w:sz w:val="21"/>
          <w:szCs w:val="21"/>
          <w:vertAlign w:val="superscript"/>
        </w:rPr>
        <w:t>th</w:t>
      </w:r>
      <w:r w:rsidRPr="00CA2E57">
        <w:rPr>
          <w:rFonts w:ascii="Times New Roman" w:hAnsi="Times New Roman" w:cs="Times New Roman"/>
          <w:sz w:val="21"/>
          <w:szCs w:val="21"/>
        </w:rPr>
        <w:t xml:space="preserve"> edition, Oxford University Press, 2006) at 219. </w:t>
      </w:r>
    </w:p>
  </w:footnote>
  <w:footnote w:id="17">
    <w:p w14:paraId="7E971C11" w14:textId="77777777" w:rsidR="00BB3565" w:rsidRPr="00CA2E57" w:rsidRDefault="00BB3565" w:rsidP="001B156C">
      <w:pPr>
        <w:pStyle w:val="FootnoteText"/>
        <w:ind w:left="142" w:hanging="142"/>
        <w:jc w:val="both"/>
        <w:rPr>
          <w:rFonts w:ascii="Times New Roman" w:hAnsi="Times New Roman" w:cs="Times New Roman"/>
          <w:sz w:val="21"/>
          <w:szCs w:val="21"/>
        </w:rPr>
      </w:pPr>
      <w:r w:rsidRPr="00CA2E57">
        <w:rPr>
          <w:rStyle w:val="FootnoteReference"/>
          <w:rFonts w:ascii="Times New Roman" w:hAnsi="Times New Roman" w:cs="Times New Roman"/>
          <w:sz w:val="21"/>
          <w:szCs w:val="21"/>
        </w:rPr>
        <w:footnoteRef/>
      </w:r>
      <w:r w:rsidRPr="00CA2E57">
        <w:rPr>
          <w:rFonts w:ascii="Times New Roman" w:hAnsi="Times New Roman" w:cs="Times New Roman"/>
          <w:sz w:val="21"/>
          <w:szCs w:val="21"/>
        </w:rPr>
        <w:t xml:space="preserve"> Law Reform Commission, </w:t>
      </w:r>
      <w:r w:rsidRPr="00CA2E57">
        <w:rPr>
          <w:rFonts w:ascii="Times New Roman" w:hAnsi="Times New Roman" w:cs="Times New Roman"/>
          <w:i/>
          <w:iCs/>
          <w:sz w:val="21"/>
          <w:szCs w:val="21"/>
        </w:rPr>
        <w:t xml:space="preserve">Consultation Paper on Defences of Duress and Necessity </w:t>
      </w:r>
      <w:r w:rsidRPr="00CA2E57">
        <w:rPr>
          <w:rFonts w:ascii="Times New Roman" w:hAnsi="Times New Roman" w:cs="Times New Roman"/>
          <w:sz w:val="21"/>
          <w:szCs w:val="21"/>
        </w:rPr>
        <w:t>(LRC CP 39-2006), at 12.</w:t>
      </w:r>
    </w:p>
  </w:footnote>
  <w:footnote w:id="18">
    <w:p w14:paraId="061CB995" w14:textId="77777777" w:rsidR="00BB3565" w:rsidRPr="00CA2E57" w:rsidRDefault="00BB3565" w:rsidP="001B156C">
      <w:pPr>
        <w:pStyle w:val="FootnoteText"/>
        <w:ind w:left="142" w:hanging="142"/>
        <w:jc w:val="both"/>
        <w:rPr>
          <w:rFonts w:ascii="Times New Roman" w:hAnsi="Times New Roman" w:cs="Times New Roman"/>
          <w:sz w:val="21"/>
          <w:szCs w:val="21"/>
        </w:rPr>
      </w:pPr>
      <w:r w:rsidRPr="00CA2E57">
        <w:rPr>
          <w:rStyle w:val="FootnoteReference"/>
          <w:rFonts w:ascii="Times New Roman" w:hAnsi="Times New Roman" w:cs="Times New Roman"/>
          <w:sz w:val="21"/>
          <w:szCs w:val="21"/>
        </w:rPr>
        <w:footnoteRef/>
      </w:r>
      <w:r w:rsidRPr="00CA2E57">
        <w:rPr>
          <w:rFonts w:ascii="Times New Roman" w:hAnsi="Times New Roman" w:cs="Times New Roman"/>
          <w:sz w:val="21"/>
          <w:szCs w:val="21"/>
        </w:rPr>
        <w:t xml:space="preserve"> See the discussion at 196-197.</w:t>
      </w:r>
    </w:p>
  </w:footnote>
  <w:footnote w:id="19">
    <w:p w14:paraId="2540D073" w14:textId="747C3EA4" w:rsidR="00B61D30" w:rsidRPr="00D16E91" w:rsidRDefault="00B61D30" w:rsidP="00B61D30">
      <w:pPr>
        <w:pStyle w:val="FootnoteText"/>
        <w:rPr>
          <w:rFonts w:ascii="Times New Roman" w:hAnsi="Times New Roman" w:cs="Times New Roman"/>
          <w:i/>
          <w:iCs/>
          <w:sz w:val="21"/>
          <w:szCs w:val="21"/>
          <w:lang w:val="en-IE"/>
        </w:rPr>
      </w:pPr>
      <w:r w:rsidRPr="00D16E91">
        <w:rPr>
          <w:rStyle w:val="FootnoteReference"/>
          <w:rFonts w:ascii="Times New Roman" w:hAnsi="Times New Roman" w:cs="Times New Roman"/>
          <w:sz w:val="21"/>
          <w:szCs w:val="21"/>
        </w:rPr>
        <w:footnoteRef/>
      </w:r>
      <w:r w:rsidRPr="00D16E91">
        <w:rPr>
          <w:rFonts w:ascii="Times New Roman" w:hAnsi="Times New Roman" w:cs="Times New Roman"/>
          <w:sz w:val="21"/>
          <w:szCs w:val="21"/>
        </w:rPr>
        <w:t xml:space="preserve"> </w:t>
      </w:r>
      <w:r w:rsidRPr="00D16E91">
        <w:rPr>
          <w:rFonts w:ascii="Times New Roman" w:hAnsi="Times New Roman" w:cs="Times New Roman"/>
          <w:i/>
          <w:iCs/>
          <w:sz w:val="21"/>
          <w:szCs w:val="21"/>
          <w:lang w:val="en-IE"/>
        </w:rPr>
        <w:t xml:space="preserve">LRC Report on defences at 224: [I]n the case of duress of circumstances, </w:t>
      </w:r>
    </w:p>
    <w:p w14:paraId="7A609B6B" w14:textId="36EEA602" w:rsidR="00B61D30" w:rsidRPr="009643E7" w:rsidRDefault="00B61D30" w:rsidP="00807B78">
      <w:pPr>
        <w:pStyle w:val="FootnoteText"/>
        <w:numPr>
          <w:ilvl w:val="0"/>
          <w:numId w:val="22"/>
        </w:numPr>
        <w:jc w:val="both"/>
        <w:rPr>
          <w:rFonts w:ascii="Times New Roman" w:hAnsi="Times New Roman" w:cs="Times New Roman"/>
          <w:i/>
          <w:iCs/>
          <w:sz w:val="21"/>
          <w:szCs w:val="21"/>
          <w:lang w:val="en-IE"/>
        </w:rPr>
      </w:pPr>
      <w:r w:rsidRPr="00B61D30">
        <w:rPr>
          <w:rFonts w:ascii="Times New Roman" w:hAnsi="Times New Roman" w:cs="Times New Roman"/>
          <w:i/>
          <w:iCs/>
          <w:sz w:val="21"/>
          <w:szCs w:val="21"/>
          <w:lang w:val="en-IE"/>
        </w:rPr>
        <w:t>a threat of death or serious injury arises from the circumstances for that person or another person unless</w:t>
      </w:r>
      <w:r w:rsidRPr="00D16E91">
        <w:rPr>
          <w:rFonts w:ascii="Times New Roman" w:hAnsi="Times New Roman" w:cs="Times New Roman"/>
          <w:i/>
          <w:iCs/>
          <w:sz w:val="21"/>
          <w:szCs w:val="21"/>
          <w:lang w:val="en-IE"/>
        </w:rPr>
        <w:t xml:space="preserve"> </w:t>
      </w:r>
      <w:r w:rsidRPr="00B61D30">
        <w:rPr>
          <w:rFonts w:ascii="Times New Roman" w:hAnsi="Times New Roman" w:cs="Times New Roman"/>
          <w:i/>
          <w:iCs/>
          <w:sz w:val="21"/>
          <w:szCs w:val="21"/>
          <w:lang w:val="en-IE"/>
        </w:rPr>
        <w:t>an offence is committed,</w:t>
      </w:r>
      <w:r w:rsidR="009643E7">
        <w:rPr>
          <w:rFonts w:ascii="Times New Roman" w:hAnsi="Times New Roman" w:cs="Times New Roman"/>
          <w:i/>
          <w:iCs/>
          <w:sz w:val="21"/>
          <w:szCs w:val="21"/>
          <w:lang w:val="en-IE"/>
        </w:rPr>
        <w:t xml:space="preserve"> (b) </w:t>
      </w:r>
      <w:r w:rsidRPr="00B61D30">
        <w:rPr>
          <w:rFonts w:ascii="Times New Roman" w:hAnsi="Times New Roman" w:cs="Times New Roman"/>
          <w:i/>
          <w:iCs/>
          <w:sz w:val="21"/>
          <w:szCs w:val="21"/>
          <w:lang w:val="en-IE"/>
        </w:rPr>
        <w:t>the threat is imminent,</w:t>
      </w:r>
      <w:r w:rsidR="009643E7">
        <w:rPr>
          <w:rFonts w:ascii="Times New Roman" w:hAnsi="Times New Roman" w:cs="Times New Roman"/>
          <w:i/>
          <w:iCs/>
          <w:sz w:val="21"/>
          <w:szCs w:val="21"/>
          <w:lang w:val="en-IE"/>
        </w:rPr>
        <w:t xml:space="preserve"> (c) </w:t>
      </w:r>
      <w:r w:rsidRPr="00B61D30">
        <w:rPr>
          <w:rFonts w:ascii="Times New Roman" w:hAnsi="Times New Roman" w:cs="Times New Roman"/>
          <w:i/>
          <w:iCs/>
          <w:sz w:val="21"/>
          <w:szCs w:val="21"/>
          <w:lang w:val="en-IE"/>
        </w:rPr>
        <w:t>there is no reasonable way to avoid the threat or make the threat ineffective, and</w:t>
      </w:r>
      <w:r w:rsidR="009643E7">
        <w:rPr>
          <w:rFonts w:ascii="Times New Roman" w:hAnsi="Times New Roman" w:cs="Times New Roman"/>
          <w:i/>
          <w:iCs/>
          <w:sz w:val="21"/>
          <w:szCs w:val="21"/>
          <w:lang w:val="en-IE"/>
        </w:rPr>
        <w:t xml:space="preserve"> (d)</w:t>
      </w:r>
      <w:r w:rsidRPr="009643E7">
        <w:rPr>
          <w:rFonts w:ascii="Times New Roman" w:hAnsi="Times New Roman" w:cs="Times New Roman"/>
          <w:i/>
          <w:iCs/>
          <w:sz w:val="21"/>
          <w:szCs w:val="21"/>
          <w:lang w:val="en-IE"/>
        </w:rPr>
        <w:t xml:space="preserve"> the conduct is a reasonable response to the threat</w:t>
      </w:r>
      <w:r w:rsidR="00807B78">
        <w:rPr>
          <w:rFonts w:ascii="Times New Roman" w:hAnsi="Times New Roman" w:cs="Times New Roman"/>
          <w:i/>
          <w:iCs/>
          <w:sz w:val="21"/>
          <w:szCs w:val="21"/>
          <w:lang w:val="en-IE"/>
        </w:rPr>
        <w:t>.”</w:t>
      </w:r>
    </w:p>
  </w:footnote>
  <w:footnote w:id="20">
    <w:p w14:paraId="35F23075" w14:textId="14E86F6A" w:rsidR="001F697C" w:rsidRPr="00CA2E57" w:rsidRDefault="001F697C" w:rsidP="009643E7">
      <w:pPr>
        <w:pStyle w:val="FootnoteText"/>
        <w:ind w:left="142" w:hanging="142"/>
        <w:jc w:val="both"/>
        <w:rPr>
          <w:rFonts w:ascii="Times New Roman" w:hAnsi="Times New Roman" w:cs="Times New Roman"/>
          <w:sz w:val="21"/>
          <w:szCs w:val="21"/>
        </w:rPr>
      </w:pPr>
      <w:r w:rsidRPr="00CA2E57">
        <w:rPr>
          <w:rStyle w:val="FootnoteReference"/>
          <w:rFonts w:ascii="Times New Roman" w:hAnsi="Times New Roman" w:cs="Times New Roman"/>
          <w:sz w:val="21"/>
          <w:szCs w:val="21"/>
        </w:rPr>
        <w:footnoteRef/>
      </w:r>
      <w:r w:rsidRPr="00CA2E57">
        <w:rPr>
          <w:rFonts w:ascii="Times New Roman" w:hAnsi="Times New Roman" w:cs="Times New Roman"/>
          <w:sz w:val="21"/>
          <w:szCs w:val="21"/>
        </w:rPr>
        <w:t xml:space="preserve"> For an overall analysis see Joseph Rausch, </w:t>
      </w:r>
      <w:r w:rsidR="00CA2E57">
        <w:rPr>
          <w:rFonts w:ascii="Times New Roman" w:hAnsi="Times New Roman" w:cs="Times New Roman"/>
          <w:sz w:val="21"/>
          <w:szCs w:val="21"/>
        </w:rPr>
        <w:t>“</w:t>
      </w:r>
      <w:r w:rsidRPr="00CA2E57">
        <w:rPr>
          <w:rFonts w:ascii="Times New Roman" w:hAnsi="Times New Roman" w:cs="Times New Roman"/>
          <w:sz w:val="21"/>
          <w:szCs w:val="21"/>
        </w:rPr>
        <w:t xml:space="preserve">The Necessity </w:t>
      </w:r>
      <w:r w:rsidRPr="00CA2E57">
        <w:rPr>
          <w:rFonts w:ascii="Times New Roman" w:hAnsi="Times New Roman" w:cs="Times New Roman"/>
          <w:sz w:val="21"/>
          <w:szCs w:val="21"/>
        </w:rPr>
        <w:t>Defense and Climate Change: A Climate Change Litigant’s Guide</w:t>
      </w:r>
      <w:r w:rsidR="00CA2E57">
        <w:rPr>
          <w:rFonts w:ascii="Times New Roman" w:hAnsi="Times New Roman" w:cs="Times New Roman"/>
          <w:sz w:val="21"/>
          <w:szCs w:val="21"/>
        </w:rPr>
        <w:t>”</w:t>
      </w:r>
      <w:r w:rsidRPr="00CA2E57">
        <w:rPr>
          <w:rFonts w:ascii="Times New Roman" w:hAnsi="Times New Roman" w:cs="Times New Roman"/>
          <w:sz w:val="21"/>
          <w:szCs w:val="21"/>
        </w:rPr>
        <w:t xml:space="preserve">, </w:t>
      </w:r>
      <w:r w:rsidRPr="00CA2E57">
        <w:rPr>
          <w:rFonts w:ascii="Times New Roman" w:hAnsi="Times New Roman" w:cs="Times New Roman"/>
          <w:i/>
          <w:iCs/>
          <w:sz w:val="21"/>
          <w:szCs w:val="21"/>
        </w:rPr>
        <w:t>Columbia Journal of Environmental Law</w:t>
      </w:r>
      <w:r w:rsidRPr="00CA2E57">
        <w:rPr>
          <w:rFonts w:ascii="Times New Roman" w:hAnsi="Times New Roman" w:cs="Times New Roman"/>
          <w:sz w:val="21"/>
          <w:szCs w:val="21"/>
        </w:rPr>
        <w:t xml:space="preserve">, 2019, Vol. 442., pp. 553-602. </w:t>
      </w:r>
    </w:p>
  </w:footnote>
  <w:footnote w:id="21">
    <w:p w14:paraId="2739C934" w14:textId="4D5E2361" w:rsidR="001F697C" w:rsidRPr="00CA2E57" w:rsidRDefault="001F697C" w:rsidP="0092024A">
      <w:pPr>
        <w:pStyle w:val="FootnoteText"/>
      </w:pPr>
      <w:r w:rsidRPr="00CA2E57">
        <w:rPr>
          <w:rStyle w:val="FootnoteReference"/>
          <w:rFonts w:ascii="Times New Roman" w:hAnsi="Times New Roman" w:cs="Times New Roman"/>
          <w:sz w:val="21"/>
          <w:szCs w:val="21"/>
        </w:rPr>
        <w:footnoteRef/>
      </w:r>
      <w:r w:rsidRPr="00CA2E57">
        <w:t xml:space="preserve"> </w:t>
      </w:r>
      <w:r w:rsidRPr="0092024A">
        <w:t>The</w:t>
      </w:r>
      <w:r w:rsidRPr="00CA2E57">
        <w:t xml:space="preserve"> court in </w:t>
      </w:r>
      <w:r w:rsidRPr="00CA2E57">
        <w:rPr>
          <w:i/>
          <w:iCs/>
        </w:rPr>
        <w:t xml:space="preserve">Breen </w:t>
      </w:r>
      <w:r w:rsidRPr="00CA2E57">
        <w:t xml:space="preserve">relied on a previous decision in In </w:t>
      </w:r>
      <w:r w:rsidRPr="00CA2E57">
        <w:rPr>
          <w:i/>
          <w:iCs/>
        </w:rPr>
        <w:t>Trans Mountain Pipeline ULC v</w:t>
      </w:r>
      <w:r w:rsidR="00CA2E57">
        <w:rPr>
          <w:i/>
          <w:iCs/>
        </w:rPr>
        <w:t>.</w:t>
      </w:r>
      <w:r w:rsidRPr="00CA2E57">
        <w:rPr>
          <w:i/>
          <w:iCs/>
        </w:rPr>
        <w:t xml:space="preserve"> </w:t>
      </w:r>
      <w:r w:rsidRPr="00CA2E57">
        <w:rPr>
          <w:i/>
          <w:iCs/>
        </w:rPr>
        <w:t>Mivasair</w:t>
      </w:r>
      <w:r w:rsidRPr="00CA2E57">
        <w:t xml:space="preserve"> [2020] BCCA 255, (2020) 394 CCC (3d) 242 in which the Court of Appeal for British Columbia rejected the necessity defence on the basis that it was not made out, as there were other legal alternatives open to the Defendants. </w:t>
      </w:r>
    </w:p>
  </w:footnote>
  <w:footnote w:id="22">
    <w:p w14:paraId="6AC6CCA4" w14:textId="77777777" w:rsidR="001A70A9" w:rsidRPr="00E817F7" w:rsidRDefault="001A70A9" w:rsidP="001B156C">
      <w:pPr>
        <w:pStyle w:val="FootnoteText"/>
        <w:ind w:left="142" w:hanging="142"/>
        <w:jc w:val="both"/>
        <w:rPr>
          <w:rFonts w:ascii="Times New Roman" w:hAnsi="Times New Roman" w:cs="Times New Roman"/>
          <w:sz w:val="21"/>
          <w:szCs w:val="21"/>
        </w:rPr>
      </w:pPr>
      <w:r w:rsidRPr="00E817F7">
        <w:rPr>
          <w:rStyle w:val="FootnoteReference"/>
          <w:rFonts w:ascii="Times New Roman" w:hAnsi="Times New Roman" w:cs="Times New Roman"/>
          <w:sz w:val="21"/>
          <w:szCs w:val="21"/>
        </w:rPr>
        <w:footnoteRef/>
      </w:r>
      <w:r w:rsidRPr="00E817F7">
        <w:rPr>
          <w:rFonts w:ascii="Times New Roman" w:hAnsi="Times New Roman" w:cs="Times New Roman"/>
          <w:sz w:val="21"/>
          <w:szCs w:val="21"/>
        </w:rPr>
        <w:t xml:space="preserve"> At §7. Later in the judgment is added: “and, in particular the lower court’s assessment of whether an interference with Convention rights was proportionate”. </w:t>
      </w:r>
    </w:p>
  </w:footnote>
  <w:footnote w:id="23">
    <w:p w14:paraId="67A58CF0" w14:textId="6E9E08C8" w:rsidR="001A70A9" w:rsidRPr="00E817F7" w:rsidRDefault="001A70A9" w:rsidP="001B156C">
      <w:pPr>
        <w:pStyle w:val="FootnoteText"/>
        <w:ind w:left="142" w:hanging="142"/>
        <w:jc w:val="both"/>
        <w:rPr>
          <w:rFonts w:ascii="Times New Roman" w:hAnsi="Times New Roman" w:cs="Times New Roman"/>
          <w:sz w:val="21"/>
          <w:szCs w:val="21"/>
        </w:rPr>
      </w:pPr>
      <w:r w:rsidRPr="00E817F7">
        <w:rPr>
          <w:rStyle w:val="FootnoteReference"/>
          <w:rFonts w:ascii="Times New Roman" w:hAnsi="Times New Roman" w:cs="Times New Roman"/>
          <w:sz w:val="21"/>
          <w:szCs w:val="21"/>
        </w:rPr>
        <w:footnoteRef/>
      </w:r>
      <w:r w:rsidRPr="00E817F7">
        <w:rPr>
          <w:rFonts w:ascii="Times New Roman" w:hAnsi="Times New Roman" w:cs="Times New Roman"/>
          <w:sz w:val="21"/>
          <w:szCs w:val="21"/>
        </w:rPr>
        <w:t xml:space="preserve"> </w:t>
      </w:r>
      <w:r w:rsidR="00101D2A" w:rsidRPr="00E817F7">
        <w:rPr>
          <w:rFonts w:ascii="Times New Roman" w:hAnsi="Times New Roman" w:cs="Times New Roman"/>
          <w:sz w:val="21"/>
          <w:szCs w:val="21"/>
        </w:rPr>
        <w:t xml:space="preserve">Albeit the second question considered is narrower and focuses on the statutory provision at issue. </w:t>
      </w:r>
      <w:r w:rsidRPr="00E817F7">
        <w:rPr>
          <w:rFonts w:ascii="Times New Roman" w:hAnsi="Times New Roman" w:cs="Times New Roman"/>
          <w:sz w:val="21"/>
          <w:szCs w:val="21"/>
        </w:rPr>
        <w:t>The second question was specifically in relation to the statutory defence at issue: “</w:t>
      </w:r>
      <w:r w:rsidRPr="00E817F7">
        <w:rPr>
          <w:rFonts w:ascii="Times New Roman" w:hAnsi="Times New Roman" w:cs="Times New Roman"/>
          <w:i/>
          <w:iCs/>
          <w:sz w:val="21"/>
          <w:szCs w:val="21"/>
        </w:rPr>
        <w:t>Is deliberate physically obstructive conduct by protesters capable of constituting a lawful excuse for the purposes of section 137 of the Highways Act 1980, where the impact of the deliberate obstruction on other highway users … prevents them … from passing along the highway?</w:t>
      </w:r>
      <w:r w:rsidRPr="00E817F7">
        <w:rPr>
          <w:rFonts w:ascii="Times New Roman" w:hAnsi="Times New Roman" w:cs="Times New Roman"/>
          <w:sz w:val="21"/>
          <w:szCs w:val="21"/>
        </w:rPr>
        <w:t>”</w:t>
      </w:r>
    </w:p>
  </w:footnote>
  <w:footnote w:id="24">
    <w:p w14:paraId="551CB977" w14:textId="77777777" w:rsidR="001A70A9" w:rsidRPr="00E817F7" w:rsidRDefault="001A70A9" w:rsidP="001B156C">
      <w:pPr>
        <w:pStyle w:val="FootnoteText"/>
        <w:ind w:left="142" w:hanging="142"/>
        <w:jc w:val="both"/>
        <w:rPr>
          <w:rFonts w:ascii="Times New Roman" w:hAnsi="Times New Roman" w:cs="Times New Roman"/>
          <w:sz w:val="21"/>
          <w:szCs w:val="21"/>
        </w:rPr>
      </w:pPr>
      <w:r w:rsidRPr="00E817F7">
        <w:rPr>
          <w:rStyle w:val="FootnoteReference"/>
          <w:rFonts w:ascii="Times New Roman" w:hAnsi="Times New Roman" w:cs="Times New Roman"/>
          <w:sz w:val="21"/>
          <w:szCs w:val="21"/>
        </w:rPr>
        <w:footnoteRef/>
      </w:r>
      <w:r w:rsidRPr="00E817F7">
        <w:rPr>
          <w:rFonts w:ascii="Times New Roman" w:hAnsi="Times New Roman" w:cs="Times New Roman"/>
          <w:sz w:val="21"/>
          <w:szCs w:val="21"/>
        </w:rPr>
        <w:t xml:space="preserve"> As noted in the Statement of Case at §40 as being noted by the Court in </w:t>
      </w:r>
      <w:r w:rsidRPr="00E817F7">
        <w:rPr>
          <w:rFonts w:ascii="Times New Roman" w:hAnsi="Times New Roman" w:cs="Times New Roman"/>
          <w:i/>
          <w:iCs/>
          <w:sz w:val="21"/>
          <w:szCs w:val="21"/>
        </w:rPr>
        <w:t xml:space="preserve">Attorney General’s Reference (No 1 of 2022) </w:t>
      </w:r>
      <w:r w:rsidRPr="00E817F7">
        <w:rPr>
          <w:rFonts w:ascii="Times New Roman" w:hAnsi="Times New Roman" w:cs="Times New Roman"/>
          <w:sz w:val="21"/>
          <w:szCs w:val="21"/>
        </w:rPr>
        <w:t>[2023] KB 37, [2022] EWCA Crim 1259.</w:t>
      </w:r>
    </w:p>
  </w:footnote>
  <w:footnote w:id="25">
    <w:p w14:paraId="4A03E1BF" w14:textId="14000FA5" w:rsidR="001A70A9" w:rsidRPr="00E817F7" w:rsidRDefault="001A70A9" w:rsidP="001B156C">
      <w:pPr>
        <w:pStyle w:val="FootnoteText"/>
        <w:ind w:left="142" w:hanging="142"/>
        <w:jc w:val="both"/>
        <w:rPr>
          <w:rFonts w:ascii="Times New Roman" w:hAnsi="Times New Roman" w:cs="Times New Roman"/>
          <w:sz w:val="21"/>
          <w:szCs w:val="21"/>
        </w:rPr>
      </w:pPr>
      <w:r w:rsidRPr="00E817F7">
        <w:rPr>
          <w:rStyle w:val="FootnoteReference"/>
          <w:rFonts w:ascii="Times New Roman" w:hAnsi="Times New Roman" w:cs="Times New Roman"/>
          <w:sz w:val="21"/>
          <w:szCs w:val="21"/>
        </w:rPr>
        <w:footnoteRef/>
      </w:r>
      <w:r w:rsidRPr="00E817F7">
        <w:rPr>
          <w:rFonts w:ascii="Times New Roman" w:hAnsi="Times New Roman" w:cs="Times New Roman"/>
          <w:sz w:val="21"/>
          <w:szCs w:val="21"/>
        </w:rPr>
        <w:t xml:space="preserve"> The Court in </w:t>
      </w:r>
      <w:r w:rsidRPr="00E817F7">
        <w:rPr>
          <w:rFonts w:ascii="Times New Roman" w:hAnsi="Times New Roman" w:cs="Times New Roman"/>
          <w:i/>
          <w:iCs/>
          <w:sz w:val="21"/>
          <w:szCs w:val="21"/>
        </w:rPr>
        <w:t xml:space="preserve">Attorney General’s Reference (No 1 of 2022) </w:t>
      </w:r>
      <w:r w:rsidRPr="00E817F7">
        <w:rPr>
          <w:rFonts w:ascii="Times New Roman" w:hAnsi="Times New Roman" w:cs="Times New Roman"/>
          <w:sz w:val="21"/>
          <w:szCs w:val="21"/>
        </w:rPr>
        <w:t xml:space="preserve">[2023] KB 37, [2022] EWCA Crim 1259 </w:t>
      </w:r>
      <w:r w:rsidR="00E817F7">
        <w:rPr>
          <w:rFonts w:ascii="Times New Roman" w:hAnsi="Times New Roman" w:cs="Times New Roman"/>
          <w:sz w:val="21"/>
          <w:szCs w:val="21"/>
        </w:rPr>
        <w:t xml:space="preserve">did </w:t>
      </w:r>
      <w:r w:rsidRPr="00E817F7">
        <w:rPr>
          <w:rFonts w:ascii="Times New Roman" w:hAnsi="Times New Roman" w:cs="Times New Roman"/>
          <w:sz w:val="21"/>
          <w:szCs w:val="21"/>
        </w:rPr>
        <w:t>refer to these cases.</w:t>
      </w:r>
    </w:p>
  </w:footnote>
  <w:footnote w:id="26">
    <w:p w14:paraId="11F83C39" w14:textId="77777777" w:rsidR="001A70A9" w:rsidRPr="00E817F7" w:rsidRDefault="001A70A9" w:rsidP="001B156C">
      <w:pPr>
        <w:pStyle w:val="FootnoteText"/>
        <w:ind w:left="142" w:hanging="142"/>
        <w:jc w:val="both"/>
        <w:rPr>
          <w:rFonts w:ascii="Times New Roman" w:hAnsi="Times New Roman" w:cs="Times New Roman"/>
          <w:sz w:val="21"/>
          <w:szCs w:val="21"/>
        </w:rPr>
      </w:pPr>
      <w:r w:rsidRPr="00E817F7">
        <w:rPr>
          <w:rStyle w:val="FootnoteReference"/>
          <w:rFonts w:ascii="Times New Roman" w:hAnsi="Times New Roman" w:cs="Times New Roman"/>
          <w:sz w:val="21"/>
          <w:szCs w:val="21"/>
        </w:rPr>
        <w:footnoteRef/>
      </w:r>
      <w:r w:rsidRPr="00E817F7">
        <w:rPr>
          <w:rFonts w:ascii="Times New Roman" w:hAnsi="Times New Roman" w:cs="Times New Roman"/>
          <w:sz w:val="21"/>
          <w:szCs w:val="21"/>
        </w:rPr>
        <w:t xml:space="preserve"> As noted in §39 of the Statement of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414"/>
    <w:multiLevelType w:val="hybridMultilevel"/>
    <w:tmpl w:val="0A64D9EE"/>
    <w:lvl w:ilvl="0" w:tplc="EB5007B0">
      <w:start w:val="1"/>
      <w:numFmt w:val="lowerRoman"/>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19CA052F"/>
    <w:multiLevelType w:val="multilevel"/>
    <w:tmpl w:val="A7785164"/>
    <w:lvl w:ilvl="0">
      <w:start w:val="1"/>
      <w:numFmt w:val="decimal"/>
      <w:lvlText w:val="%1."/>
      <w:lvlJc w:val="left"/>
      <w:pPr>
        <w:tabs>
          <w:tab w:val="num" w:pos="720"/>
        </w:tabs>
        <w:ind w:left="720" w:hanging="360"/>
      </w:pPr>
      <w:rPr>
        <w:rFonts w:ascii="Times New Roman" w:eastAsia="Calibr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F67D2"/>
    <w:multiLevelType w:val="hybridMultilevel"/>
    <w:tmpl w:val="28243884"/>
    <w:lvl w:ilvl="0" w:tplc="D3C23D24">
      <w:start w:val="1"/>
      <w:numFmt w:val="decimal"/>
      <w:lvlText w:val="%1."/>
      <w:lvlJc w:val="left"/>
      <w:pPr>
        <w:ind w:left="643" w:hanging="360"/>
      </w:pPr>
      <w:rPr>
        <w:rFonts w:ascii="Times New Roman" w:hAnsi="Times New Roman" w:cs="Times New Roman" w:hint="default"/>
        <w:b w:val="0"/>
        <w:bCs w:val="0"/>
        <w:i w:val="0"/>
        <w:iCs w:val="0"/>
      </w:rPr>
    </w:lvl>
    <w:lvl w:ilvl="1" w:tplc="3BFEEDDC">
      <w:start w:val="1"/>
      <w:numFmt w:val="lowerLetter"/>
      <w:lvlText w:val="(%2)"/>
      <w:lvlJc w:val="right"/>
      <w:pPr>
        <w:ind w:left="502" w:hanging="360"/>
      </w:pPr>
      <w:rPr>
        <w:rFonts w:ascii="Times New Roman" w:eastAsia="Times New Roman" w:hAnsi="Times New Roman" w:cs="Times New Roman"/>
        <w:i w:val="0"/>
        <w:iCs w:val="0"/>
      </w:rPr>
    </w:lvl>
    <w:lvl w:ilvl="2" w:tplc="F680511E">
      <w:start w:val="1"/>
      <w:numFmt w:val="upperLetter"/>
      <w:lvlText w:val="%3."/>
      <w:lvlJc w:val="right"/>
      <w:pPr>
        <w:ind w:left="2340" w:hanging="1433"/>
      </w:pPr>
      <w:rPr>
        <w:rFonts w:ascii="Times New Roman" w:eastAsia="Times New Roman" w:hAnsi="Times New Roman"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468A977E">
      <w:start w:val="1"/>
      <w:numFmt w:val="lowerLetter"/>
      <w:lvlText w:val="(%6)"/>
      <w:lvlJc w:val="left"/>
      <w:pPr>
        <w:ind w:left="4500" w:hanging="360"/>
      </w:pPr>
      <w:rPr>
        <w:rFonts w:eastAsia="Times New Roman" w:hint="default"/>
        <w:i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13D01"/>
    <w:multiLevelType w:val="hybridMultilevel"/>
    <w:tmpl w:val="37401BCC"/>
    <w:lvl w:ilvl="0" w:tplc="40788AEE">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8736C"/>
    <w:multiLevelType w:val="hybridMultilevel"/>
    <w:tmpl w:val="79E0E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F722B9"/>
    <w:multiLevelType w:val="hybridMultilevel"/>
    <w:tmpl w:val="0F26A70A"/>
    <w:lvl w:ilvl="0" w:tplc="D806E90C">
      <w:start w:val="1"/>
      <w:numFmt w:val="decimal"/>
      <w:lvlText w:val="%1."/>
      <w:lvlJc w:val="left"/>
      <w:pPr>
        <w:ind w:left="720" w:hanging="360"/>
      </w:pPr>
      <w:rPr>
        <w:rFonts w:ascii="Times New Roman" w:hAnsi="Times New Roman" w:cs="Times New Roman" w:hint="default"/>
        <w:b w:val="0"/>
        <w:bCs w:val="0"/>
        <w:i w:val="0"/>
        <w:iCs w:val="0"/>
      </w:rPr>
    </w:lvl>
    <w:lvl w:ilvl="1" w:tplc="343063A2">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93F59"/>
    <w:multiLevelType w:val="hybridMultilevel"/>
    <w:tmpl w:val="3EA8FDF4"/>
    <w:lvl w:ilvl="0" w:tplc="33B63286">
      <w:start w:val="1"/>
      <w:numFmt w:val="lowerRoman"/>
      <w:lvlText w:val="(%1)"/>
      <w:lvlJc w:val="left"/>
      <w:pPr>
        <w:ind w:left="1440" w:hanging="720"/>
      </w:pPr>
      <w:rPr>
        <w:rFonts w:ascii="Times New Roman" w:eastAsiaTheme="minorHAnsi" w:hAnsi="Times New Roman" w:cs="Times New Roman"/>
        <w:i w:val="0"/>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86160D"/>
    <w:multiLevelType w:val="hybridMultilevel"/>
    <w:tmpl w:val="11B6E476"/>
    <w:lvl w:ilvl="0" w:tplc="D6668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391DE5"/>
    <w:multiLevelType w:val="hybridMultilevel"/>
    <w:tmpl w:val="11B6E47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904008"/>
    <w:multiLevelType w:val="hybridMultilevel"/>
    <w:tmpl w:val="05387DC2"/>
    <w:lvl w:ilvl="0" w:tplc="019AAD2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20FF8"/>
    <w:multiLevelType w:val="hybridMultilevel"/>
    <w:tmpl w:val="385EC6D4"/>
    <w:lvl w:ilvl="0" w:tplc="FAA8A14A">
      <w:start w:val="2"/>
      <w:numFmt w:val="lowerRoman"/>
      <w:lvlText w:val="(%1)"/>
      <w:lvlJc w:val="left"/>
      <w:pPr>
        <w:ind w:left="1080" w:hanging="72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D3B42"/>
    <w:multiLevelType w:val="hybridMultilevel"/>
    <w:tmpl w:val="24149552"/>
    <w:lvl w:ilvl="0" w:tplc="4CCA4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B6F74"/>
    <w:multiLevelType w:val="hybridMultilevel"/>
    <w:tmpl w:val="55540656"/>
    <w:lvl w:ilvl="0" w:tplc="DE785C96">
      <w:start w:val="9"/>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5B203679"/>
    <w:multiLevelType w:val="hybridMultilevel"/>
    <w:tmpl w:val="BD82C808"/>
    <w:lvl w:ilvl="0" w:tplc="1C24E9C4">
      <w:start w:val="1"/>
      <w:numFmt w:val="lowerRoman"/>
      <w:lvlText w:val="(%1)"/>
      <w:lvlJc w:val="left"/>
      <w:pPr>
        <w:ind w:left="1080" w:hanging="72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C74CB"/>
    <w:multiLevelType w:val="hybridMultilevel"/>
    <w:tmpl w:val="7D1E49A6"/>
    <w:lvl w:ilvl="0" w:tplc="69846580">
      <w:start w:val="9"/>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F2F29"/>
    <w:multiLevelType w:val="hybridMultilevel"/>
    <w:tmpl w:val="3A36896E"/>
    <w:lvl w:ilvl="0" w:tplc="52E8E4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16696"/>
    <w:multiLevelType w:val="hybridMultilevel"/>
    <w:tmpl w:val="28243884"/>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right"/>
      <w:pPr>
        <w:ind w:left="502" w:hanging="360"/>
      </w:pPr>
      <w:rPr>
        <w:rFonts w:ascii="Times New Roman" w:eastAsia="Times New Roman" w:hAnsi="Times New Roman" w:cs="Times New Roman"/>
        <w:i w:val="0"/>
        <w:iCs w:val="0"/>
      </w:rPr>
    </w:lvl>
    <w:lvl w:ilvl="2" w:tplc="FFFFFFFF">
      <w:start w:val="1"/>
      <w:numFmt w:val="upperLetter"/>
      <w:lvlText w:val="%3."/>
      <w:lvlJc w:val="right"/>
      <w:pPr>
        <w:ind w:left="2340" w:hanging="1433"/>
      </w:pPr>
      <w:rPr>
        <w:rFonts w:ascii="Times New Roman" w:eastAsia="Times New Roman" w:hAnsi="Times New Roman" w:cs="Times New Roman"/>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eastAsia="Times New Roman" w:hint="default"/>
        <w:i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2D4E2F"/>
    <w:multiLevelType w:val="hybridMultilevel"/>
    <w:tmpl w:val="7F52FC8C"/>
    <w:lvl w:ilvl="0" w:tplc="42F65E2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4E11F8"/>
    <w:multiLevelType w:val="hybridMultilevel"/>
    <w:tmpl w:val="F22665D4"/>
    <w:lvl w:ilvl="0" w:tplc="58B8E544">
      <w:start w:val="50"/>
      <w:numFmt w:val="decimal"/>
      <w:lvlText w:val="%1"/>
      <w:lvlJc w:val="left"/>
      <w:pPr>
        <w:ind w:left="720" w:hanging="360"/>
      </w:pPr>
      <w:rPr>
        <w:rFonts w:eastAsiaTheme="minorHAns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5E0E42"/>
    <w:multiLevelType w:val="hybridMultilevel"/>
    <w:tmpl w:val="62D87C68"/>
    <w:lvl w:ilvl="0" w:tplc="3926C9AA">
      <w:start w:val="1"/>
      <w:numFmt w:val="lowerRoman"/>
      <w:lvlText w:val="(%1)"/>
      <w:lvlJc w:val="left"/>
      <w:pPr>
        <w:ind w:left="3600" w:hanging="360"/>
      </w:pPr>
      <w:rPr>
        <w:rFonts w:ascii="Times New Roman" w:eastAsia="Times New Roman" w:hAnsi="Times New Roman" w:cs="Times New Roman"/>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 w15:restartNumberingAfterBreak="0">
    <w:nsid w:val="706358A2"/>
    <w:multiLevelType w:val="hybridMultilevel"/>
    <w:tmpl w:val="222C4EB0"/>
    <w:lvl w:ilvl="0" w:tplc="181A0B74">
      <w:start w:val="1"/>
      <w:numFmt w:val="upperLetter"/>
      <w:lvlText w:val="%1."/>
      <w:lvlJc w:val="left"/>
      <w:pPr>
        <w:ind w:left="360" w:hanging="360"/>
      </w:pPr>
      <w:rPr>
        <w:rFonts w:hint="default"/>
        <w:b/>
        <w:bCs/>
        <w:i w:val="0"/>
        <w:iCs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693ED8"/>
    <w:multiLevelType w:val="hybridMultilevel"/>
    <w:tmpl w:val="3ED28F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21124"/>
    <w:multiLevelType w:val="hybridMultilevel"/>
    <w:tmpl w:val="446C3D84"/>
    <w:lvl w:ilvl="0" w:tplc="CB3683FA">
      <w:start w:val="2"/>
      <w:numFmt w:val="upperLetter"/>
      <w:lvlText w:val="%1."/>
      <w:lvlJc w:val="left"/>
      <w:pPr>
        <w:ind w:left="1440" w:hanging="360"/>
      </w:pPr>
      <w:rPr>
        <w:rFonts w:hint="default"/>
      </w:rPr>
    </w:lvl>
    <w:lvl w:ilvl="1" w:tplc="6B983B30">
      <w:start w:val="1"/>
      <w:numFmt w:val="lowerLetter"/>
      <w:lvlText w:val="%2."/>
      <w:lvlJc w:val="left"/>
      <w:pPr>
        <w:ind w:left="2160" w:hanging="360"/>
      </w:pPr>
      <w:rPr>
        <w:b/>
        <w:bCs/>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03688006">
    <w:abstractNumId w:val="2"/>
  </w:num>
  <w:num w:numId="2" w16cid:durableId="899563069">
    <w:abstractNumId w:val="22"/>
  </w:num>
  <w:num w:numId="3" w16cid:durableId="2088264354">
    <w:abstractNumId w:val="5"/>
  </w:num>
  <w:num w:numId="4" w16cid:durableId="480083149">
    <w:abstractNumId w:val="21"/>
  </w:num>
  <w:num w:numId="5" w16cid:durableId="1791051534">
    <w:abstractNumId w:val="3"/>
  </w:num>
  <w:num w:numId="6" w16cid:durableId="886526787">
    <w:abstractNumId w:val="7"/>
  </w:num>
  <w:num w:numId="7" w16cid:durableId="5833591">
    <w:abstractNumId w:val="17"/>
  </w:num>
  <w:num w:numId="8" w16cid:durableId="229123605">
    <w:abstractNumId w:val="19"/>
  </w:num>
  <w:num w:numId="9" w16cid:durableId="456990947">
    <w:abstractNumId w:val="12"/>
  </w:num>
  <w:num w:numId="10" w16cid:durableId="204145724">
    <w:abstractNumId w:val="0"/>
  </w:num>
  <w:num w:numId="11" w16cid:durableId="359354225">
    <w:abstractNumId w:val="20"/>
  </w:num>
  <w:num w:numId="12" w16cid:durableId="487862816">
    <w:abstractNumId w:val="14"/>
  </w:num>
  <w:num w:numId="13" w16cid:durableId="600333682">
    <w:abstractNumId w:val="18"/>
  </w:num>
  <w:num w:numId="14" w16cid:durableId="676689884">
    <w:abstractNumId w:val="10"/>
  </w:num>
  <w:num w:numId="15" w16cid:durableId="1083527697">
    <w:abstractNumId w:val="13"/>
  </w:num>
  <w:num w:numId="16" w16cid:durableId="636764004">
    <w:abstractNumId w:val="6"/>
  </w:num>
  <w:num w:numId="17" w16cid:durableId="1715930524">
    <w:abstractNumId w:val="9"/>
  </w:num>
  <w:num w:numId="18" w16cid:durableId="465121905">
    <w:abstractNumId w:val="8"/>
  </w:num>
  <w:num w:numId="19" w16cid:durableId="1023240027">
    <w:abstractNumId w:val="1"/>
  </w:num>
  <w:num w:numId="20" w16cid:durableId="1902131718">
    <w:abstractNumId w:val="15"/>
  </w:num>
  <w:num w:numId="21" w16cid:durableId="1421371039">
    <w:abstractNumId w:val="4"/>
  </w:num>
  <w:num w:numId="22" w16cid:durableId="368653459">
    <w:abstractNumId w:val="11"/>
  </w:num>
  <w:num w:numId="23" w16cid:durableId="16584557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B2"/>
    <w:rsid w:val="000008B2"/>
    <w:rsid w:val="00004B20"/>
    <w:rsid w:val="00013D37"/>
    <w:rsid w:val="0001410D"/>
    <w:rsid w:val="00017308"/>
    <w:rsid w:val="000350C8"/>
    <w:rsid w:val="00041F9B"/>
    <w:rsid w:val="00047B17"/>
    <w:rsid w:val="000549E0"/>
    <w:rsid w:val="00062919"/>
    <w:rsid w:val="00066B33"/>
    <w:rsid w:val="00066BA6"/>
    <w:rsid w:val="00072A43"/>
    <w:rsid w:val="00073B37"/>
    <w:rsid w:val="00076F1B"/>
    <w:rsid w:val="000813A2"/>
    <w:rsid w:val="000A2412"/>
    <w:rsid w:val="000C4DBA"/>
    <w:rsid w:val="000C62DA"/>
    <w:rsid w:val="000C6DEB"/>
    <w:rsid w:val="000D2EFE"/>
    <w:rsid w:val="000D7E45"/>
    <w:rsid w:val="000E329F"/>
    <w:rsid w:val="00101A18"/>
    <w:rsid w:val="00101D2A"/>
    <w:rsid w:val="00111E98"/>
    <w:rsid w:val="001153C7"/>
    <w:rsid w:val="0012141B"/>
    <w:rsid w:val="001272E9"/>
    <w:rsid w:val="0013493C"/>
    <w:rsid w:val="001403AC"/>
    <w:rsid w:val="00155975"/>
    <w:rsid w:val="00172E46"/>
    <w:rsid w:val="001744B4"/>
    <w:rsid w:val="0018206F"/>
    <w:rsid w:val="00186C0C"/>
    <w:rsid w:val="00191B4F"/>
    <w:rsid w:val="00196724"/>
    <w:rsid w:val="001976A7"/>
    <w:rsid w:val="001A70A9"/>
    <w:rsid w:val="001B156C"/>
    <w:rsid w:val="001B64D7"/>
    <w:rsid w:val="001B73C7"/>
    <w:rsid w:val="001C3F24"/>
    <w:rsid w:val="001D0BFD"/>
    <w:rsid w:val="001D5164"/>
    <w:rsid w:val="001D63A3"/>
    <w:rsid w:val="001D70AB"/>
    <w:rsid w:val="001E14F3"/>
    <w:rsid w:val="001E3591"/>
    <w:rsid w:val="001F3CF1"/>
    <w:rsid w:val="001F5900"/>
    <w:rsid w:val="001F697C"/>
    <w:rsid w:val="001F7E56"/>
    <w:rsid w:val="0020254D"/>
    <w:rsid w:val="00204ABB"/>
    <w:rsid w:val="0022188C"/>
    <w:rsid w:val="00230D78"/>
    <w:rsid w:val="00232868"/>
    <w:rsid w:val="00234736"/>
    <w:rsid w:val="00240CD2"/>
    <w:rsid w:val="00245DA0"/>
    <w:rsid w:val="002512C2"/>
    <w:rsid w:val="00252E6D"/>
    <w:rsid w:val="00252EE8"/>
    <w:rsid w:val="00262659"/>
    <w:rsid w:val="002632BC"/>
    <w:rsid w:val="002642AA"/>
    <w:rsid w:val="00267530"/>
    <w:rsid w:val="00274180"/>
    <w:rsid w:val="002772AB"/>
    <w:rsid w:val="002853E9"/>
    <w:rsid w:val="0029500E"/>
    <w:rsid w:val="002B20C8"/>
    <w:rsid w:val="002C1363"/>
    <w:rsid w:val="002D2979"/>
    <w:rsid w:val="002D7D31"/>
    <w:rsid w:val="002D7E00"/>
    <w:rsid w:val="002E16F0"/>
    <w:rsid w:val="002E248B"/>
    <w:rsid w:val="002E30BB"/>
    <w:rsid w:val="002F128E"/>
    <w:rsid w:val="002F3D51"/>
    <w:rsid w:val="002F3EA6"/>
    <w:rsid w:val="00304602"/>
    <w:rsid w:val="00311AAE"/>
    <w:rsid w:val="003134E6"/>
    <w:rsid w:val="00313C05"/>
    <w:rsid w:val="00316763"/>
    <w:rsid w:val="00317467"/>
    <w:rsid w:val="00335058"/>
    <w:rsid w:val="00340847"/>
    <w:rsid w:val="003441CD"/>
    <w:rsid w:val="00355F0C"/>
    <w:rsid w:val="00366679"/>
    <w:rsid w:val="003703AC"/>
    <w:rsid w:val="00370E6C"/>
    <w:rsid w:val="00375C9F"/>
    <w:rsid w:val="003A00DA"/>
    <w:rsid w:val="003A3C12"/>
    <w:rsid w:val="003A4047"/>
    <w:rsid w:val="003A6E14"/>
    <w:rsid w:val="003B3CBA"/>
    <w:rsid w:val="003B6D4B"/>
    <w:rsid w:val="003B779E"/>
    <w:rsid w:val="003C078B"/>
    <w:rsid w:val="003D0E52"/>
    <w:rsid w:val="003D41A9"/>
    <w:rsid w:val="003D4224"/>
    <w:rsid w:val="003D7EFE"/>
    <w:rsid w:val="003E12FB"/>
    <w:rsid w:val="00400989"/>
    <w:rsid w:val="00402281"/>
    <w:rsid w:val="004022A8"/>
    <w:rsid w:val="0040667E"/>
    <w:rsid w:val="004115B4"/>
    <w:rsid w:val="00413932"/>
    <w:rsid w:val="004147F8"/>
    <w:rsid w:val="004200FE"/>
    <w:rsid w:val="004401B7"/>
    <w:rsid w:val="00460B35"/>
    <w:rsid w:val="0046281A"/>
    <w:rsid w:val="0046393E"/>
    <w:rsid w:val="00485780"/>
    <w:rsid w:val="00495074"/>
    <w:rsid w:val="0049763F"/>
    <w:rsid w:val="004A13FC"/>
    <w:rsid w:val="004A463C"/>
    <w:rsid w:val="004A7E3C"/>
    <w:rsid w:val="004B1494"/>
    <w:rsid w:val="004B5A3A"/>
    <w:rsid w:val="004D460C"/>
    <w:rsid w:val="004E4925"/>
    <w:rsid w:val="004E59CA"/>
    <w:rsid w:val="004F1D7A"/>
    <w:rsid w:val="004F6CB2"/>
    <w:rsid w:val="00507C0F"/>
    <w:rsid w:val="005145CE"/>
    <w:rsid w:val="0051780B"/>
    <w:rsid w:val="0053072C"/>
    <w:rsid w:val="005348C9"/>
    <w:rsid w:val="00534BFC"/>
    <w:rsid w:val="0053696C"/>
    <w:rsid w:val="005378DC"/>
    <w:rsid w:val="00555C6A"/>
    <w:rsid w:val="00556B0A"/>
    <w:rsid w:val="0055713D"/>
    <w:rsid w:val="0056432A"/>
    <w:rsid w:val="0057556E"/>
    <w:rsid w:val="00584D63"/>
    <w:rsid w:val="00594B81"/>
    <w:rsid w:val="005A0B5F"/>
    <w:rsid w:val="005B039A"/>
    <w:rsid w:val="005B19D2"/>
    <w:rsid w:val="005B6C51"/>
    <w:rsid w:val="005D11E5"/>
    <w:rsid w:val="005D1273"/>
    <w:rsid w:val="005E3217"/>
    <w:rsid w:val="005F4D0A"/>
    <w:rsid w:val="0060428B"/>
    <w:rsid w:val="00605B84"/>
    <w:rsid w:val="00612F8A"/>
    <w:rsid w:val="00621359"/>
    <w:rsid w:val="00622C5D"/>
    <w:rsid w:val="00626477"/>
    <w:rsid w:val="00627628"/>
    <w:rsid w:val="00635230"/>
    <w:rsid w:val="00635F8D"/>
    <w:rsid w:val="006368DE"/>
    <w:rsid w:val="00645A3F"/>
    <w:rsid w:val="00664092"/>
    <w:rsid w:val="0066649E"/>
    <w:rsid w:val="00670362"/>
    <w:rsid w:val="0067135B"/>
    <w:rsid w:val="00671D32"/>
    <w:rsid w:val="00673838"/>
    <w:rsid w:val="006823F2"/>
    <w:rsid w:val="006871CE"/>
    <w:rsid w:val="00694E13"/>
    <w:rsid w:val="006A5111"/>
    <w:rsid w:val="006C561D"/>
    <w:rsid w:val="006C638A"/>
    <w:rsid w:val="006D6571"/>
    <w:rsid w:val="006E2BE2"/>
    <w:rsid w:val="007018AE"/>
    <w:rsid w:val="00706DAF"/>
    <w:rsid w:val="00713FCE"/>
    <w:rsid w:val="00732DEC"/>
    <w:rsid w:val="00736EE8"/>
    <w:rsid w:val="00737762"/>
    <w:rsid w:val="007418F1"/>
    <w:rsid w:val="00746E9E"/>
    <w:rsid w:val="00750BEC"/>
    <w:rsid w:val="00771BE7"/>
    <w:rsid w:val="00776269"/>
    <w:rsid w:val="00777D2D"/>
    <w:rsid w:val="007819E1"/>
    <w:rsid w:val="00781DC8"/>
    <w:rsid w:val="007861BE"/>
    <w:rsid w:val="00790927"/>
    <w:rsid w:val="00794EFC"/>
    <w:rsid w:val="007B0602"/>
    <w:rsid w:val="007B3B6F"/>
    <w:rsid w:val="007C48CD"/>
    <w:rsid w:val="007D1E05"/>
    <w:rsid w:val="007E3BC8"/>
    <w:rsid w:val="007E5D2E"/>
    <w:rsid w:val="007E6BF7"/>
    <w:rsid w:val="007F0234"/>
    <w:rsid w:val="007F1D93"/>
    <w:rsid w:val="007F328B"/>
    <w:rsid w:val="007F5D25"/>
    <w:rsid w:val="00807B78"/>
    <w:rsid w:val="0081605B"/>
    <w:rsid w:val="00823921"/>
    <w:rsid w:val="00824073"/>
    <w:rsid w:val="00824357"/>
    <w:rsid w:val="00831A1A"/>
    <w:rsid w:val="008321EB"/>
    <w:rsid w:val="00832CCB"/>
    <w:rsid w:val="00833DC9"/>
    <w:rsid w:val="00834608"/>
    <w:rsid w:val="00836874"/>
    <w:rsid w:val="00841167"/>
    <w:rsid w:val="008427D3"/>
    <w:rsid w:val="0084336D"/>
    <w:rsid w:val="008603DB"/>
    <w:rsid w:val="008730BD"/>
    <w:rsid w:val="00875645"/>
    <w:rsid w:val="00882F74"/>
    <w:rsid w:val="0088756C"/>
    <w:rsid w:val="00891848"/>
    <w:rsid w:val="00893638"/>
    <w:rsid w:val="008A1762"/>
    <w:rsid w:val="008A2747"/>
    <w:rsid w:val="008A62B9"/>
    <w:rsid w:val="008A712D"/>
    <w:rsid w:val="008B4581"/>
    <w:rsid w:val="008B4DCA"/>
    <w:rsid w:val="008C25EF"/>
    <w:rsid w:val="008D1434"/>
    <w:rsid w:val="008E3140"/>
    <w:rsid w:val="008E505B"/>
    <w:rsid w:val="008E6B31"/>
    <w:rsid w:val="008E76D4"/>
    <w:rsid w:val="008F204C"/>
    <w:rsid w:val="008F22CF"/>
    <w:rsid w:val="00900666"/>
    <w:rsid w:val="0090398B"/>
    <w:rsid w:val="009102DF"/>
    <w:rsid w:val="009124FB"/>
    <w:rsid w:val="0092024A"/>
    <w:rsid w:val="009359DC"/>
    <w:rsid w:val="00940220"/>
    <w:rsid w:val="009454F7"/>
    <w:rsid w:val="0095462A"/>
    <w:rsid w:val="00957010"/>
    <w:rsid w:val="009643E7"/>
    <w:rsid w:val="00965951"/>
    <w:rsid w:val="00982AD6"/>
    <w:rsid w:val="00983E5A"/>
    <w:rsid w:val="0098556E"/>
    <w:rsid w:val="00987CDD"/>
    <w:rsid w:val="00990763"/>
    <w:rsid w:val="009A291E"/>
    <w:rsid w:val="009A40A1"/>
    <w:rsid w:val="009A4FE4"/>
    <w:rsid w:val="009D75FB"/>
    <w:rsid w:val="009F22B8"/>
    <w:rsid w:val="009F7D31"/>
    <w:rsid w:val="00A003BB"/>
    <w:rsid w:val="00A02E8D"/>
    <w:rsid w:val="00A07A73"/>
    <w:rsid w:val="00A07A7C"/>
    <w:rsid w:val="00A16E02"/>
    <w:rsid w:val="00A174EB"/>
    <w:rsid w:val="00A17761"/>
    <w:rsid w:val="00A21C9D"/>
    <w:rsid w:val="00A22AA0"/>
    <w:rsid w:val="00A23302"/>
    <w:rsid w:val="00A31E6C"/>
    <w:rsid w:val="00A32C8C"/>
    <w:rsid w:val="00A33973"/>
    <w:rsid w:val="00A406FE"/>
    <w:rsid w:val="00A44B1C"/>
    <w:rsid w:val="00A63982"/>
    <w:rsid w:val="00A7082A"/>
    <w:rsid w:val="00A70C2A"/>
    <w:rsid w:val="00A72A26"/>
    <w:rsid w:val="00A73F21"/>
    <w:rsid w:val="00A73F95"/>
    <w:rsid w:val="00A8438E"/>
    <w:rsid w:val="00A86052"/>
    <w:rsid w:val="00A86B5C"/>
    <w:rsid w:val="00A91170"/>
    <w:rsid w:val="00AA064A"/>
    <w:rsid w:val="00AA1675"/>
    <w:rsid w:val="00AB1AD5"/>
    <w:rsid w:val="00AB6E6C"/>
    <w:rsid w:val="00AC3214"/>
    <w:rsid w:val="00AC7267"/>
    <w:rsid w:val="00AD6B8E"/>
    <w:rsid w:val="00AE32AA"/>
    <w:rsid w:val="00AE33EE"/>
    <w:rsid w:val="00AE56D1"/>
    <w:rsid w:val="00AE7044"/>
    <w:rsid w:val="00AF0F12"/>
    <w:rsid w:val="00AF3BA8"/>
    <w:rsid w:val="00AF4878"/>
    <w:rsid w:val="00B019C0"/>
    <w:rsid w:val="00B0603E"/>
    <w:rsid w:val="00B0697E"/>
    <w:rsid w:val="00B10FE7"/>
    <w:rsid w:val="00B251D4"/>
    <w:rsid w:val="00B32E9F"/>
    <w:rsid w:val="00B37798"/>
    <w:rsid w:val="00B425BD"/>
    <w:rsid w:val="00B504DF"/>
    <w:rsid w:val="00B56966"/>
    <w:rsid w:val="00B61B89"/>
    <w:rsid w:val="00B61D30"/>
    <w:rsid w:val="00B80938"/>
    <w:rsid w:val="00B81BD0"/>
    <w:rsid w:val="00B867E8"/>
    <w:rsid w:val="00B87417"/>
    <w:rsid w:val="00B87F03"/>
    <w:rsid w:val="00B92342"/>
    <w:rsid w:val="00BA59DC"/>
    <w:rsid w:val="00BB3565"/>
    <w:rsid w:val="00BB3ADF"/>
    <w:rsid w:val="00BC35A8"/>
    <w:rsid w:val="00BC3A46"/>
    <w:rsid w:val="00BD49B6"/>
    <w:rsid w:val="00BD6BBE"/>
    <w:rsid w:val="00BE063A"/>
    <w:rsid w:val="00BE2118"/>
    <w:rsid w:val="00BE2A0E"/>
    <w:rsid w:val="00BE40BB"/>
    <w:rsid w:val="00BE6520"/>
    <w:rsid w:val="00BF3103"/>
    <w:rsid w:val="00BF3BC1"/>
    <w:rsid w:val="00C05BF8"/>
    <w:rsid w:val="00C11CC4"/>
    <w:rsid w:val="00C133A1"/>
    <w:rsid w:val="00C1360E"/>
    <w:rsid w:val="00C211DE"/>
    <w:rsid w:val="00C232D7"/>
    <w:rsid w:val="00C33C94"/>
    <w:rsid w:val="00C372E5"/>
    <w:rsid w:val="00C43718"/>
    <w:rsid w:val="00C569D9"/>
    <w:rsid w:val="00C65731"/>
    <w:rsid w:val="00C857DB"/>
    <w:rsid w:val="00CA1898"/>
    <w:rsid w:val="00CA2AAE"/>
    <w:rsid w:val="00CA2E57"/>
    <w:rsid w:val="00CA6BA5"/>
    <w:rsid w:val="00CB554A"/>
    <w:rsid w:val="00CC4448"/>
    <w:rsid w:val="00CD0120"/>
    <w:rsid w:val="00CD1D70"/>
    <w:rsid w:val="00CD4D57"/>
    <w:rsid w:val="00D076F5"/>
    <w:rsid w:val="00D16E91"/>
    <w:rsid w:val="00D24677"/>
    <w:rsid w:val="00D26D1E"/>
    <w:rsid w:val="00D3434D"/>
    <w:rsid w:val="00D421CF"/>
    <w:rsid w:val="00D531FB"/>
    <w:rsid w:val="00D55D4B"/>
    <w:rsid w:val="00D66442"/>
    <w:rsid w:val="00D6693D"/>
    <w:rsid w:val="00D67CA3"/>
    <w:rsid w:val="00D71EE7"/>
    <w:rsid w:val="00D74310"/>
    <w:rsid w:val="00D75DFB"/>
    <w:rsid w:val="00D77FD5"/>
    <w:rsid w:val="00DB46C1"/>
    <w:rsid w:val="00DB532E"/>
    <w:rsid w:val="00DB56CB"/>
    <w:rsid w:val="00DC1E69"/>
    <w:rsid w:val="00DD7A6A"/>
    <w:rsid w:val="00DE39E8"/>
    <w:rsid w:val="00DE5E9D"/>
    <w:rsid w:val="00DF15FE"/>
    <w:rsid w:val="00E02147"/>
    <w:rsid w:val="00E06DFF"/>
    <w:rsid w:val="00E14ED1"/>
    <w:rsid w:val="00E15C85"/>
    <w:rsid w:val="00E362B5"/>
    <w:rsid w:val="00E450B9"/>
    <w:rsid w:val="00E4582E"/>
    <w:rsid w:val="00E45D80"/>
    <w:rsid w:val="00E468EF"/>
    <w:rsid w:val="00E62AE8"/>
    <w:rsid w:val="00E711D7"/>
    <w:rsid w:val="00E74160"/>
    <w:rsid w:val="00E749AB"/>
    <w:rsid w:val="00E817F7"/>
    <w:rsid w:val="00E83CBF"/>
    <w:rsid w:val="00E97507"/>
    <w:rsid w:val="00EB448B"/>
    <w:rsid w:val="00EC607A"/>
    <w:rsid w:val="00EC64A8"/>
    <w:rsid w:val="00ED4349"/>
    <w:rsid w:val="00EE4578"/>
    <w:rsid w:val="00EF03B3"/>
    <w:rsid w:val="00EF06FE"/>
    <w:rsid w:val="00EF20D6"/>
    <w:rsid w:val="00EF4955"/>
    <w:rsid w:val="00EF5C94"/>
    <w:rsid w:val="00EF6D95"/>
    <w:rsid w:val="00F01677"/>
    <w:rsid w:val="00F025EE"/>
    <w:rsid w:val="00F06F93"/>
    <w:rsid w:val="00F109A1"/>
    <w:rsid w:val="00F1552A"/>
    <w:rsid w:val="00F35E5D"/>
    <w:rsid w:val="00F40632"/>
    <w:rsid w:val="00F41B1C"/>
    <w:rsid w:val="00F43992"/>
    <w:rsid w:val="00F50FCF"/>
    <w:rsid w:val="00F70FEC"/>
    <w:rsid w:val="00F736DC"/>
    <w:rsid w:val="00F75FD0"/>
    <w:rsid w:val="00F93A14"/>
    <w:rsid w:val="00F9778E"/>
    <w:rsid w:val="00FA37A0"/>
    <w:rsid w:val="00FA3F66"/>
    <w:rsid w:val="00FB620D"/>
    <w:rsid w:val="00FE1D39"/>
    <w:rsid w:val="00FE63AD"/>
    <w:rsid w:val="00FF2C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FDA61"/>
  <w15:chartTrackingRefBased/>
  <w15:docId w15:val="{06F1DE65-5EDC-1F48-8720-0117C1BD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B2"/>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A23302"/>
    <w:pPr>
      <w:keepNext/>
      <w:keepLines/>
      <w:spacing w:before="360" w:after="80"/>
      <w:jc w:val="center"/>
      <w:outlineLvl w:val="0"/>
    </w:pPr>
    <w:rPr>
      <w:rFonts w:ascii="Times New Roman" w:eastAsiaTheme="majorEastAsia" w:hAnsi="Times New Roman" w:cstheme="majorBidi"/>
      <w:b/>
      <w:color w:val="000000" w:themeColor="text1"/>
      <w:szCs w:val="40"/>
      <w:u w:val="single"/>
    </w:rPr>
  </w:style>
  <w:style w:type="paragraph" w:styleId="Heading2">
    <w:name w:val="heading 2"/>
    <w:next w:val="Normal"/>
    <w:link w:val="Heading2Char"/>
    <w:uiPriority w:val="9"/>
    <w:unhideWhenUsed/>
    <w:qFormat/>
    <w:rsid w:val="00A23302"/>
    <w:pPr>
      <w:keepNext/>
      <w:keepLines/>
      <w:spacing w:before="160" w:after="80"/>
      <w:outlineLvl w:val="1"/>
    </w:pPr>
    <w:rPr>
      <w:rFonts w:ascii="Times New Roman" w:eastAsiaTheme="majorEastAsia" w:hAnsi="Times New Roman" w:cstheme="majorBidi"/>
      <w:b/>
      <w:color w:val="000000" w:themeColor="text1"/>
      <w:kern w:val="0"/>
      <w:szCs w:val="32"/>
      <w:u w:val="single"/>
      <w14:ligatures w14:val="none"/>
    </w:rPr>
  </w:style>
  <w:style w:type="paragraph" w:styleId="Heading3">
    <w:name w:val="heading 3"/>
    <w:basedOn w:val="Normal"/>
    <w:next w:val="Normal"/>
    <w:link w:val="Heading3Char"/>
    <w:uiPriority w:val="9"/>
    <w:semiHidden/>
    <w:unhideWhenUsed/>
    <w:qFormat/>
    <w:rsid w:val="004F6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02"/>
    <w:rPr>
      <w:rFonts w:ascii="Times New Roman" w:eastAsiaTheme="majorEastAsia" w:hAnsi="Times New Roman" w:cstheme="majorBidi"/>
      <w:b/>
      <w:color w:val="000000" w:themeColor="text1"/>
      <w:kern w:val="0"/>
      <w:szCs w:val="40"/>
      <w:u w:val="single"/>
      <w14:ligatures w14:val="none"/>
    </w:rPr>
  </w:style>
  <w:style w:type="character" w:customStyle="1" w:styleId="Heading2Char">
    <w:name w:val="Heading 2 Char"/>
    <w:basedOn w:val="DefaultParagraphFont"/>
    <w:link w:val="Heading2"/>
    <w:uiPriority w:val="9"/>
    <w:rsid w:val="00A23302"/>
    <w:rPr>
      <w:rFonts w:ascii="Times New Roman" w:eastAsiaTheme="majorEastAsia" w:hAnsi="Times New Roman" w:cstheme="majorBidi"/>
      <w:b/>
      <w:color w:val="000000" w:themeColor="text1"/>
      <w:kern w:val="0"/>
      <w:szCs w:val="32"/>
      <w:u w:val="single"/>
      <w14:ligatures w14:val="none"/>
    </w:rPr>
  </w:style>
  <w:style w:type="character" w:customStyle="1" w:styleId="Heading3Char">
    <w:name w:val="Heading 3 Char"/>
    <w:basedOn w:val="DefaultParagraphFont"/>
    <w:link w:val="Heading3"/>
    <w:uiPriority w:val="9"/>
    <w:semiHidden/>
    <w:rsid w:val="004F6CB2"/>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F6CB2"/>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F6CB2"/>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4F6CB2"/>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6CB2"/>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4F6CB2"/>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6CB2"/>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4F6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C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6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CB2"/>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6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CB2"/>
    <w:rPr>
      <w:i/>
      <w:iCs/>
      <w:color w:val="404040" w:themeColor="text1" w:themeTint="BF"/>
      <w:lang w:val="en-GB"/>
    </w:rPr>
  </w:style>
  <w:style w:type="paragraph" w:styleId="ListParagraph">
    <w:name w:val="List Paragraph"/>
    <w:basedOn w:val="Normal"/>
    <w:uiPriority w:val="34"/>
    <w:qFormat/>
    <w:rsid w:val="004F6CB2"/>
    <w:pPr>
      <w:ind w:left="720"/>
      <w:contextualSpacing/>
    </w:pPr>
  </w:style>
  <w:style w:type="character" w:styleId="IntenseEmphasis">
    <w:name w:val="Intense Emphasis"/>
    <w:basedOn w:val="DefaultParagraphFont"/>
    <w:uiPriority w:val="21"/>
    <w:qFormat/>
    <w:rsid w:val="004F6CB2"/>
    <w:rPr>
      <w:i/>
      <w:iCs/>
      <w:color w:val="0F4761" w:themeColor="accent1" w:themeShade="BF"/>
    </w:rPr>
  </w:style>
  <w:style w:type="paragraph" w:styleId="IntenseQuote">
    <w:name w:val="Intense Quote"/>
    <w:basedOn w:val="Normal"/>
    <w:next w:val="Normal"/>
    <w:link w:val="IntenseQuoteChar"/>
    <w:uiPriority w:val="30"/>
    <w:qFormat/>
    <w:rsid w:val="004F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CB2"/>
    <w:rPr>
      <w:i/>
      <w:iCs/>
      <w:color w:val="0F4761" w:themeColor="accent1" w:themeShade="BF"/>
      <w:lang w:val="en-GB"/>
    </w:rPr>
  </w:style>
  <w:style w:type="character" w:styleId="IntenseReference">
    <w:name w:val="Intense Reference"/>
    <w:basedOn w:val="DefaultParagraphFont"/>
    <w:uiPriority w:val="32"/>
    <w:qFormat/>
    <w:rsid w:val="004F6CB2"/>
    <w:rPr>
      <w:b/>
      <w:bCs/>
      <w:smallCaps/>
      <w:color w:val="0F4761" w:themeColor="accent1" w:themeShade="BF"/>
      <w:spacing w:val="5"/>
    </w:rPr>
  </w:style>
  <w:style w:type="paragraph" w:styleId="Header">
    <w:name w:val="header"/>
    <w:basedOn w:val="Normal"/>
    <w:link w:val="HeaderChar"/>
    <w:uiPriority w:val="99"/>
    <w:unhideWhenUsed/>
    <w:rsid w:val="00DB532E"/>
    <w:pPr>
      <w:tabs>
        <w:tab w:val="center" w:pos="4513"/>
        <w:tab w:val="right" w:pos="9026"/>
      </w:tabs>
    </w:pPr>
  </w:style>
  <w:style w:type="character" w:customStyle="1" w:styleId="HeaderChar">
    <w:name w:val="Header Char"/>
    <w:basedOn w:val="DefaultParagraphFont"/>
    <w:link w:val="Header"/>
    <w:uiPriority w:val="99"/>
    <w:rsid w:val="00DB532E"/>
    <w:rPr>
      <w:rFonts w:asciiTheme="minorHAnsi" w:hAnsiTheme="minorHAnsi" w:cstheme="minorBidi"/>
      <w:kern w:val="0"/>
      <w14:ligatures w14:val="none"/>
    </w:rPr>
  </w:style>
  <w:style w:type="paragraph" w:styleId="Footer">
    <w:name w:val="footer"/>
    <w:basedOn w:val="Normal"/>
    <w:link w:val="FooterChar"/>
    <w:uiPriority w:val="99"/>
    <w:unhideWhenUsed/>
    <w:rsid w:val="00DB532E"/>
    <w:pPr>
      <w:tabs>
        <w:tab w:val="center" w:pos="4513"/>
        <w:tab w:val="right" w:pos="9026"/>
      </w:tabs>
    </w:pPr>
  </w:style>
  <w:style w:type="character" w:customStyle="1" w:styleId="FooterChar">
    <w:name w:val="Footer Char"/>
    <w:basedOn w:val="DefaultParagraphFont"/>
    <w:link w:val="Footer"/>
    <w:uiPriority w:val="99"/>
    <w:rsid w:val="00DB532E"/>
    <w:rPr>
      <w:rFonts w:asciiTheme="minorHAnsi" w:hAnsiTheme="minorHAnsi" w:cstheme="minorBidi"/>
      <w:kern w:val="0"/>
      <w14:ligatures w14:val="none"/>
    </w:rPr>
  </w:style>
  <w:style w:type="character" w:styleId="Hyperlink">
    <w:name w:val="Hyperlink"/>
    <w:basedOn w:val="DefaultParagraphFont"/>
    <w:uiPriority w:val="99"/>
    <w:unhideWhenUsed/>
    <w:rsid w:val="005B039A"/>
    <w:rPr>
      <w:color w:val="0000FF"/>
      <w:u w:val="single"/>
    </w:rPr>
  </w:style>
  <w:style w:type="paragraph" w:styleId="FootnoteText">
    <w:name w:val="footnote text"/>
    <w:aliases w:val="*Footnote Text,Footnote Text (alt f),fn,footnote text"/>
    <w:basedOn w:val="Normal"/>
    <w:link w:val="FootnoteTextChar"/>
    <w:uiPriority w:val="99"/>
    <w:unhideWhenUsed/>
    <w:qFormat/>
    <w:rsid w:val="005B039A"/>
    <w:rPr>
      <w:rFonts w:ascii="Cambria" w:hAnsi="Cambria" w:cs="Times New Roman (Body CS)"/>
      <w:kern w:val="2"/>
      <w:sz w:val="20"/>
      <w:szCs w:val="20"/>
      <w:lang w:val="en-GB"/>
      <w14:ligatures w14:val="standardContextual"/>
    </w:rPr>
  </w:style>
  <w:style w:type="character" w:customStyle="1" w:styleId="FootnoteTextChar">
    <w:name w:val="Footnote Text Char"/>
    <w:aliases w:val="*Footnote Text Char,Footnote Text (alt f) Char,fn Char,footnote text Char"/>
    <w:basedOn w:val="DefaultParagraphFont"/>
    <w:link w:val="FootnoteText"/>
    <w:uiPriority w:val="99"/>
    <w:rsid w:val="005B039A"/>
    <w:rPr>
      <w:sz w:val="20"/>
      <w:szCs w:val="20"/>
      <w:lang w:val="en-GB"/>
    </w:rPr>
  </w:style>
  <w:style w:type="character" w:styleId="FootnoteReference">
    <w:name w:val="footnote reference"/>
    <w:basedOn w:val="DefaultParagraphFont"/>
    <w:uiPriority w:val="99"/>
    <w:semiHidden/>
    <w:unhideWhenUsed/>
    <w:rsid w:val="005B039A"/>
    <w:rPr>
      <w:vertAlign w:val="superscript"/>
    </w:rPr>
  </w:style>
  <w:style w:type="character" w:styleId="UnresolvedMention">
    <w:name w:val="Unresolved Mention"/>
    <w:basedOn w:val="DefaultParagraphFont"/>
    <w:uiPriority w:val="99"/>
    <w:unhideWhenUsed/>
    <w:rsid w:val="00732DEC"/>
    <w:rPr>
      <w:color w:val="605E5C"/>
      <w:shd w:val="clear" w:color="auto" w:fill="E1DFDD"/>
    </w:rPr>
  </w:style>
  <w:style w:type="paragraph" w:styleId="NoSpacing">
    <w:name w:val="No Spacing"/>
    <w:uiPriority w:val="1"/>
    <w:qFormat/>
    <w:rsid w:val="00BE40BB"/>
    <w:rPr>
      <w:rFonts w:asciiTheme="minorHAnsi" w:eastAsiaTheme="minorEastAsia" w:hAnsiTheme="minorHAnsi" w:cstheme="minorBidi"/>
      <w:lang w:eastAsia="zh-CN"/>
    </w:rPr>
  </w:style>
  <w:style w:type="paragraph" w:styleId="Revision">
    <w:name w:val="Revision"/>
    <w:hidden/>
    <w:uiPriority w:val="99"/>
    <w:semiHidden/>
    <w:rsid w:val="00C33C94"/>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C33C94"/>
    <w:rPr>
      <w:sz w:val="16"/>
      <w:szCs w:val="16"/>
    </w:rPr>
  </w:style>
  <w:style w:type="paragraph" w:styleId="CommentText">
    <w:name w:val="annotation text"/>
    <w:basedOn w:val="Normal"/>
    <w:link w:val="CommentTextChar"/>
    <w:uiPriority w:val="99"/>
    <w:unhideWhenUsed/>
    <w:rsid w:val="00C33C94"/>
    <w:rPr>
      <w:sz w:val="20"/>
      <w:szCs w:val="20"/>
    </w:rPr>
  </w:style>
  <w:style w:type="character" w:customStyle="1" w:styleId="CommentTextChar">
    <w:name w:val="Comment Text Char"/>
    <w:basedOn w:val="DefaultParagraphFont"/>
    <w:link w:val="CommentText"/>
    <w:uiPriority w:val="99"/>
    <w:rsid w:val="00C33C94"/>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33C94"/>
    <w:rPr>
      <w:b/>
      <w:bCs/>
    </w:rPr>
  </w:style>
  <w:style w:type="character" w:customStyle="1" w:styleId="CommentSubjectChar">
    <w:name w:val="Comment Subject Char"/>
    <w:basedOn w:val="CommentTextChar"/>
    <w:link w:val="CommentSubject"/>
    <w:uiPriority w:val="99"/>
    <w:semiHidden/>
    <w:rsid w:val="00C33C94"/>
    <w:rPr>
      <w:rFonts w:asciiTheme="minorHAnsi" w:hAnsiTheme="minorHAnsi" w:cstheme="min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ece.org/sites/default/files/202510/Aarhus_SR_EnvDef_Guidelines_Right%20to%20Peaceful%20Environmental%20Protest_Civil%20Disobedience_ENG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0F65-9063-8746-B83E-C906C874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10096</Words>
  <Characters>57551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DPP v Dowling KH Ref AMI0260004 AMICUS CURIAE 2026</dc:title>
  <dc:subject/>
  <dc:creator>Nóra Ní Loinsigh</dc:creator>
  <cp:keywords/>
  <dc:description/>
  <cp:lastModifiedBy>Tatjana Coj (IHREC)</cp:lastModifiedBy>
  <cp:revision>19</cp:revision>
  <cp:lastPrinted>2026-05-14T10:59:00Z</cp:lastPrinted>
  <dcterms:created xsi:type="dcterms:W3CDTF">2026-04-08T14:56:00Z</dcterms:created>
  <dcterms:modified xsi:type="dcterms:W3CDTF">2026-05-14T11:00:00Z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SiteID">
    <vt:lpwstr>060EF224-9EAB-472B-8BC3-8CD4B62D8158</vt:lpwstr>
  </property>
  <property fmtid="{D5CDD505-2E9C-101B-9397-08002B2CF9AE}" pid="3" name="KeyhouseTrackReference">
    <vt:lpwstr>655977</vt:lpwstr>
  </property>
  <property fmtid="{D5CDD505-2E9C-101B-9397-08002B2CF9AE}" pid="4" name="KeyhouseVersionNumber">
    <vt:lpwstr>5</vt:lpwstr>
  </property>
  <property fmtid="{D5CDD505-2E9C-101B-9397-08002B2CF9AE}" pid="5" name="KeyhouseMatterReference">
    <vt:lpwstr>AMI026/0004</vt:lpwstr>
  </property>
  <property fmtid="{D5CDD505-2E9C-101B-9397-08002B2CF9AE}" pid="6" name="KeyhouseFileLocation">
    <vt:lpwstr>\\itservices.gov.ie\dfs\groups\ihrec\KeyHouse\Keyhouse\client documents\AMI026\0004\Dowling IHREC Subs 08_04_26 FINAL_655977.docx</vt:lpwstr>
  </property>
</Properties>
</file>