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59AB" w14:textId="71C3BD76" w:rsidR="00F96FEE" w:rsidRPr="00E32C67" w:rsidRDefault="00F96FEE" w:rsidP="00F96FEE">
      <w:pPr>
        <w:rPr>
          <w:rFonts w:asciiTheme="minorHAnsi" w:eastAsiaTheme="minorEastAsia" w:hAnsiTheme="minorHAnsi"/>
          <w:color w:val="002060"/>
          <w:kern w:val="0"/>
          <w:sz w:val="22"/>
          <w:szCs w:val="22"/>
          <w14:ligatures w14:val="none"/>
        </w:rPr>
      </w:pPr>
      <w:r w:rsidRPr="00E32C67">
        <w:rPr>
          <w:rFonts w:asciiTheme="minorHAnsi" w:eastAsiaTheme="minorEastAsia" w:hAnsiTheme="minorHAnsi"/>
          <w:color w:val="002060"/>
          <w:kern w:val="0"/>
          <w:sz w:val="22"/>
          <w:szCs w:val="22"/>
          <w14:ligatures w14:val="none"/>
        </w:rPr>
        <w:t>Freedom of Information Disclosure Log: Quarter 4 2025</w:t>
      </w:r>
    </w:p>
    <w:p w14:paraId="76B25344" w14:textId="61E7EFE5" w:rsidR="00F96FEE" w:rsidRPr="00E32C67" w:rsidRDefault="00F96FEE">
      <w:pPr>
        <w:rPr>
          <w:sz w:val="22"/>
          <w:szCs w:val="22"/>
        </w:rPr>
      </w:pPr>
      <w:r w:rsidRPr="00E32C67">
        <w:rPr>
          <w:sz w:val="22"/>
          <w:szCs w:val="22"/>
        </w:rPr>
        <w:t>Summary of all Non- Personal Freedom of Information Requests submitted to the Irish Human Rights and Equality Commission in Quarter 4 2025</w:t>
      </w:r>
    </w:p>
    <w:tbl>
      <w:tblPr>
        <w:tblStyle w:val="TableGridLight1"/>
        <w:tblW w:w="15735" w:type="dxa"/>
        <w:tblInd w:w="-856" w:type="dxa"/>
        <w:tblLayout w:type="fixed"/>
        <w:tblCellMar>
          <w:top w:w="57" w:type="dxa"/>
          <w:bottom w:w="57" w:type="dxa"/>
        </w:tblCellMar>
        <w:tblLook w:val="0020" w:firstRow="1" w:lastRow="0" w:firstColumn="0" w:lastColumn="0" w:noHBand="0" w:noVBand="0"/>
      </w:tblPr>
      <w:tblGrid>
        <w:gridCol w:w="1276"/>
        <w:gridCol w:w="1282"/>
        <w:gridCol w:w="1447"/>
        <w:gridCol w:w="1099"/>
        <w:gridCol w:w="8120"/>
        <w:gridCol w:w="1158"/>
        <w:gridCol w:w="1353"/>
      </w:tblGrid>
      <w:tr w:rsidR="00F96FEE" w:rsidRPr="00E81772" w14:paraId="32F2F150" w14:textId="77777777" w:rsidTr="00B642BE">
        <w:trPr>
          <w:trHeight w:val="467"/>
          <w:tblHeader/>
        </w:trPr>
        <w:tc>
          <w:tcPr>
            <w:tcW w:w="1276" w:type="dxa"/>
            <w:shd w:val="clear" w:color="auto" w:fill="548DD4"/>
            <w:vAlign w:val="center"/>
          </w:tcPr>
          <w:p w14:paraId="62DBC7F3" w14:textId="77777777" w:rsidR="00F96FEE" w:rsidRPr="00E32C67" w:rsidRDefault="00F96FEE" w:rsidP="00955C2A">
            <w:pPr>
              <w:keepNext/>
              <w:keepLines/>
              <w:spacing w:before="200"/>
              <w:outlineLvl w:val="2"/>
              <w:rPr>
                <w:rFonts w:asciiTheme="minorHAnsi" w:eastAsiaTheme="minorEastAsia" w:hAnsiTheme="minorHAnsi" w:cstheme="minorBidi"/>
                <w:b/>
                <w:bCs/>
              </w:rPr>
            </w:pPr>
            <w:r w:rsidRPr="00E32C67">
              <w:rPr>
                <w:rFonts w:asciiTheme="minorHAnsi" w:eastAsiaTheme="minorEastAsia" w:hAnsiTheme="minorHAnsi" w:cstheme="minorBidi"/>
                <w:b/>
                <w:bCs/>
              </w:rPr>
              <w:t>Ref No.</w:t>
            </w:r>
          </w:p>
        </w:tc>
        <w:tc>
          <w:tcPr>
            <w:tcW w:w="1282" w:type="dxa"/>
            <w:shd w:val="clear" w:color="auto" w:fill="548DD4"/>
            <w:vAlign w:val="center"/>
          </w:tcPr>
          <w:p w14:paraId="24929676" w14:textId="77777777" w:rsidR="00F96FEE" w:rsidRPr="00E32C67" w:rsidRDefault="00F96FEE" w:rsidP="00955C2A">
            <w:pPr>
              <w:keepNext/>
              <w:keepLines/>
              <w:spacing w:before="200"/>
              <w:outlineLvl w:val="2"/>
              <w:rPr>
                <w:rFonts w:asciiTheme="minorHAnsi" w:eastAsiaTheme="minorEastAsia" w:hAnsiTheme="minorHAnsi" w:cstheme="minorBidi"/>
                <w:b/>
                <w:bCs/>
              </w:rPr>
            </w:pPr>
            <w:r w:rsidRPr="00E32C67">
              <w:rPr>
                <w:rFonts w:asciiTheme="minorHAnsi" w:eastAsiaTheme="minorEastAsia" w:hAnsiTheme="minorHAnsi" w:cstheme="minorBidi"/>
                <w:b/>
                <w:bCs/>
              </w:rPr>
              <w:t>Date Received</w:t>
            </w:r>
          </w:p>
        </w:tc>
        <w:tc>
          <w:tcPr>
            <w:tcW w:w="1447" w:type="dxa"/>
            <w:shd w:val="clear" w:color="auto" w:fill="548DD4"/>
            <w:vAlign w:val="center"/>
          </w:tcPr>
          <w:p w14:paraId="26A2F6E6" w14:textId="77777777" w:rsidR="00F96FEE" w:rsidRPr="00E32C67" w:rsidRDefault="00F96FEE" w:rsidP="00955C2A">
            <w:pPr>
              <w:keepNext/>
              <w:keepLines/>
              <w:spacing w:before="200"/>
              <w:outlineLvl w:val="2"/>
              <w:rPr>
                <w:rFonts w:asciiTheme="minorHAnsi" w:eastAsiaTheme="minorEastAsia" w:hAnsiTheme="minorHAnsi" w:cstheme="minorBidi"/>
                <w:b/>
                <w:bCs/>
              </w:rPr>
            </w:pPr>
            <w:r w:rsidRPr="00E32C67">
              <w:rPr>
                <w:rFonts w:asciiTheme="minorHAnsi" w:eastAsiaTheme="minorEastAsia" w:hAnsiTheme="minorHAnsi" w:cstheme="minorBidi"/>
                <w:b/>
                <w:bCs/>
              </w:rPr>
              <w:t>Decision Date</w:t>
            </w:r>
          </w:p>
        </w:tc>
        <w:tc>
          <w:tcPr>
            <w:tcW w:w="1099" w:type="dxa"/>
            <w:shd w:val="clear" w:color="auto" w:fill="548DD4"/>
            <w:vAlign w:val="center"/>
          </w:tcPr>
          <w:p w14:paraId="54E69AB6" w14:textId="77777777" w:rsidR="00F96FEE" w:rsidRPr="00E32C67" w:rsidRDefault="00F96FEE" w:rsidP="00955C2A">
            <w:pPr>
              <w:keepNext/>
              <w:keepLines/>
              <w:spacing w:before="200"/>
              <w:outlineLvl w:val="2"/>
              <w:rPr>
                <w:rFonts w:asciiTheme="minorHAnsi" w:eastAsiaTheme="minorEastAsia" w:hAnsiTheme="minorHAnsi" w:cstheme="minorBidi"/>
                <w:b/>
                <w:bCs/>
              </w:rPr>
            </w:pPr>
            <w:r w:rsidRPr="00E32C67">
              <w:rPr>
                <w:rFonts w:asciiTheme="minorHAnsi" w:eastAsiaTheme="minorEastAsia" w:hAnsiTheme="minorHAnsi" w:cstheme="minorBidi"/>
                <w:b/>
                <w:bCs/>
              </w:rPr>
              <w:t>Category</w:t>
            </w:r>
          </w:p>
        </w:tc>
        <w:tc>
          <w:tcPr>
            <w:tcW w:w="8120" w:type="dxa"/>
            <w:shd w:val="clear" w:color="auto" w:fill="548DD4"/>
            <w:vAlign w:val="center"/>
          </w:tcPr>
          <w:p w14:paraId="2DCA2B0F" w14:textId="77777777" w:rsidR="00F96FEE" w:rsidRPr="00E32C67" w:rsidRDefault="00F96FEE" w:rsidP="00955C2A">
            <w:pPr>
              <w:keepNext/>
              <w:keepLines/>
              <w:spacing w:before="200"/>
              <w:outlineLvl w:val="2"/>
              <w:rPr>
                <w:rFonts w:asciiTheme="minorHAnsi" w:eastAsiaTheme="minorEastAsia" w:hAnsiTheme="minorHAnsi" w:cstheme="minorBidi"/>
                <w:b/>
                <w:bCs/>
              </w:rPr>
            </w:pPr>
            <w:r w:rsidRPr="00E32C67">
              <w:rPr>
                <w:rFonts w:asciiTheme="minorHAnsi" w:eastAsiaTheme="minorEastAsia" w:hAnsiTheme="minorHAnsi" w:cstheme="minorBidi"/>
                <w:b/>
                <w:bCs/>
              </w:rPr>
              <w:t>Details</w:t>
            </w:r>
          </w:p>
        </w:tc>
        <w:tc>
          <w:tcPr>
            <w:tcW w:w="1158" w:type="dxa"/>
            <w:shd w:val="clear" w:color="auto" w:fill="548DD4"/>
            <w:vAlign w:val="center"/>
          </w:tcPr>
          <w:p w14:paraId="3FE2AA5A" w14:textId="77777777" w:rsidR="00F96FEE" w:rsidRPr="00E32C67" w:rsidRDefault="00F96FEE" w:rsidP="00955C2A">
            <w:pPr>
              <w:keepNext/>
              <w:keepLines/>
              <w:spacing w:before="200"/>
              <w:outlineLvl w:val="2"/>
              <w:rPr>
                <w:rFonts w:asciiTheme="minorHAnsi" w:eastAsiaTheme="minorEastAsia" w:hAnsiTheme="minorHAnsi" w:cstheme="minorBidi"/>
                <w:b/>
                <w:bCs/>
              </w:rPr>
            </w:pPr>
            <w:r w:rsidRPr="00E32C67">
              <w:rPr>
                <w:rFonts w:asciiTheme="minorHAnsi" w:eastAsiaTheme="minorEastAsia" w:hAnsiTheme="minorHAnsi" w:cstheme="minorBidi"/>
                <w:b/>
                <w:bCs/>
              </w:rPr>
              <w:t>Requester</w:t>
            </w:r>
          </w:p>
        </w:tc>
        <w:tc>
          <w:tcPr>
            <w:tcW w:w="1353" w:type="dxa"/>
            <w:shd w:val="clear" w:color="auto" w:fill="548DD4"/>
            <w:vAlign w:val="center"/>
          </w:tcPr>
          <w:p w14:paraId="75AE189B" w14:textId="77777777" w:rsidR="00F96FEE" w:rsidRPr="00E32C67" w:rsidRDefault="00F96FEE" w:rsidP="00955C2A">
            <w:pPr>
              <w:keepNext/>
              <w:keepLines/>
              <w:spacing w:before="200"/>
              <w:outlineLvl w:val="2"/>
              <w:rPr>
                <w:rFonts w:asciiTheme="minorHAnsi" w:eastAsiaTheme="minorEastAsia" w:hAnsiTheme="minorHAnsi" w:cstheme="minorBidi"/>
                <w:b/>
                <w:bCs/>
              </w:rPr>
            </w:pPr>
            <w:r w:rsidRPr="00E32C67">
              <w:rPr>
                <w:rFonts w:asciiTheme="minorHAnsi" w:eastAsiaTheme="minorEastAsia" w:hAnsiTheme="minorHAnsi" w:cstheme="minorBidi"/>
                <w:b/>
                <w:bCs/>
              </w:rPr>
              <w:t>Decision</w:t>
            </w:r>
          </w:p>
        </w:tc>
      </w:tr>
      <w:tr w:rsidR="00F96FEE" w:rsidRPr="00E81772" w14:paraId="388A2F50" w14:textId="77777777" w:rsidTr="00B642BE">
        <w:trPr>
          <w:trHeight w:val="1550"/>
        </w:trPr>
        <w:tc>
          <w:tcPr>
            <w:tcW w:w="1276" w:type="dxa"/>
          </w:tcPr>
          <w:p w14:paraId="2D205F68" w14:textId="437E8078" w:rsidR="00F96FEE" w:rsidRPr="00E81772" w:rsidRDefault="00F96FEE" w:rsidP="00955C2A">
            <w:pPr>
              <w:spacing w:line="276" w:lineRule="auto"/>
              <w:rPr>
                <w:rFonts w:eastAsia="Times New Roman"/>
                <w:b/>
              </w:rPr>
            </w:pPr>
            <w:r w:rsidRPr="00E81772">
              <w:rPr>
                <w:rFonts w:eastAsia="Times New Roman"/>
                <w:b/>
              </w:rPr>
              <w:t>FOI 00</w:t>
            </w:r>
            <w:r>
              <w:rPr>
                <w:rFonts w:eastAsia="Times New Roman"/>
                <w:b/>
              </w:rPr>
              <w:t>23</w:t>
            </w:r>
            <w:r w:rsidRPr="00E81772">
              <w:rPr>
                <w:rFonts w:eastAsia="Times New Roman"/>
                <w:b/>
              </w:rPr>
              <w:t>-2025</w:t>
            </w:r>
          </w:p>
        </w:tc>
        <w:tc>
          <w:tcPr>
            <w:tcW w:w="1282" w:type="dxa"/>
          </w:tcPr>
          <w:p w14:paraId="4DF8EE59" w14:textId="2C650CA1" w:rsidR="00F96FEE" w:rsidRPr="00E81772" w:rsidRDefault="00F96FEE" w:rsidP="00955C2A">
            <w:pPr>
              <w:spacing w:line="276" w:lineRule="auto"/>
              <w:rPr>
                <w:rFonts w:eastAsia="Times New Roman"/>
              </w:rPr>
            </w:pPr>
            <w:r>
              <w:rPr>
                <w:rFonts w:eastAsia="Times New Roman"/>
              </w:rPr>
              <w:t>2025.10.01</w:t>
            </w:r>
          </w:p>
        </w:tc>
        <w:tc>
          <w:tcPr>
            <w:tcW w:w="1447" w:type="dxa"/>
          </w:tcPr>
          <w:p w14:paraId="61DCB6CE" w14:textId="0787862E" w:rsidR="00F96FEE" w:rsidRPr="00E81772" w:rsidRDefault="00F96FEE" w:rsidP="00955C2A">
            <w:pPr>
              <w:spacing w:line="276" w:lineRule="auto"/>
              <w:rPr>
                <w:rFonts w:eastAsia="Times New Roman"/>
                <w:b/>
              </w:rPr>
            </w:pPr>
            <w:r>
              <w:rPr>
                <w:rFonts w:eastAsia="Times New Roman"/>
                <w:b/>
              </w:rPr>
              <w:t>2025.10.30</w:t>
            </w:r>
          </w:p>
        </w:tc>
        <w:tc>
          <w:tcPr>
            <w:tcW w:w="1099" w:type="dxa"/>
          </w:tcPr>
          <w:p w14:paraId="6B5DDAF2" w14:textId="77777777" w:rsidR="00F96FEE" w:rsidRPr="00E81772" w:rsidRDefault="00F96FEE" w:rsidP="00955C2A">
            <w:pPr>
              <w:spacing w:line="276" w:lineRule="auto"/>
              <w:rPr>
                <w:rFonts w:eastAsia="Times New Roman"/>
              </w:rPr>
            </w:pPr>
            <w:r w:rsidRPr="00E81772">
              <w:rPr>
                <w:rFonts w:eastAsia="Times New Roman"/>
              </w:rPr>
              <w:t>Non-personal</w:t>
            </w:r>
          </w:p>
        </w:tc>
        <w:tc>
          <w:tcPr>
            <w:tcW w:w="8120" w:type="dxa"/>
          </w:tcPr>
          <w:p w14:paraId="3615E780" w14:textId="77777777" w:rsidR="00F96FEE" w:rsidRPr="00F96FEE" w:rsidRDefault="00F96FEE" w:rsidP="00F96FEE">
            <w:pPr>
              <w:rPr>
                <w:rFonts w:eastAsia="Aptos" w:cs="Aptos"/>
                <w:i/>
                <w:iCs/>
              </w:rPr>
            </w:pPr>
            <w:r w:rsidRPr="00F96FEE">
              <w:rPr>
                <w:rFonts w:eastAsia="Aptos" w:cs="Aptos"/>
              </w:rPr>
              <w:t xml:space="preserve">- </w:t>
            </w:r>
            <w:r w:rsidRPr="00F96FEE">
              <w:rPr>
                <w:rFonts w:eastAsia="Aptos" w:cs="Aptos"/>
                <w:i/>
                <w:iCs/>
              </w:rPr>
              <w:t>a copy of any correspondence between the IHREC and the U.S. State Department with regard to its 2025 Trafficking in Persons Report.</w:t>
            </w:r>
          </w:p>
          <w:p w14:paraId="015EFCC9" w14:textId="77777777" w:rsidR="00F96FEE" w:rsidRPr="00F96FEE" w:rsidRDefault="00F96FEE" w:rsidP="00F96FEE">
            <w:pPr>
              <w:rPr>
                <w:rFonts w:eastAsia="Aptos" w:cs="Aptos"/>
                <w:i/>
                <w:iCs/>
              </w:rPr>
            </w:pPr>
            <w:r w:rsidRPr="00F96FEE">
              <w:rPr>
                <w:rFonts w:eastAsia="Aptos" w:cs="Aptos"/>
                <w:i/>
                <w:iCs/>
              </w:rPr>
              <w:t>I would prefer to receive this information electronically, ideally in its original electronic format.</w:t>
            </w:r>
          </w:p>
          <w:p w14:paraId="341451FC" w14:textId="1BF371C3" w:rsidR="00F96FEE" w:rsidRPr="00F96FEE" w:rsidRDefault="00F96FEE" w:rsidP="00F96FEE">
            <w:pPr>
              <w:rPr>
                <w:rFonts w:eastAsia="Aptos" w:cs="Aptos"/>
                <w:i/>
                <w:iCs/>
              </w:rPr>
            </w:pPr>
            <w:r w:rsidRPr="00F96FEE">
              <w:rPr>
                <w:rFonts w:eastAsia="Aptos" w:cs="Aptos"/>
                <w:i/>
                <w:iCs/>
              </w:rPr>
              <w:t xml:space="preserve">If planning to use a </w:t>
            </w:r>
            <w:r w:rsidR="003442B5" w:rsidRPr="00F96FEE">
              <w:rPr>
                <w:rFonts w:eastAsia="Aptos" w:cs="Aptos"/>
                <w:i/>
                <w:iCs/>
              </w:rPr>
              <w:t>ShareFile</w:t>
            </w:r>
            <w:r w:rsidRPr="00F96FEE">
              <w:rPr>
                <w:rFonts w:eastAsia="Aptos" w:cs="Aptos"/>
                <w:i/>
                <w:iCs/>
              </w:rPr>
              <w:t xml:space="preserve"> type service, please ensure it does not involve signing up for an account (a step that is not required for a non-personal FOI request).</w:t>
            </w:r>
          </w:p>
          <w:p w14:paraId="07515069" w14:textId="77777777" w:rsidR="00F96FEE" w:rsidRPr="00E81772" w:rsidRDefault="00F96FEE" w:rsidP="00955C2A">
            <w:pPr>
              <w:rPr>
                <w:rFonts w:eastAsia="Times New Roman" w:cs="Calibri"/>
                <w:i/>
                <w:iCs/>
              </w:rPr>
            </w:pPr>
          </w:p>
        </w:tc>
        <w:tc>
          <w:tcPr>
            <w:tcW w:w="1158" w:type="dxa"/>
          </w:tcPr>
          <w:p w14:paraId="55868ADC" w14:textId="77777777" w:rsidR="00F96FEE" w:rsidRPr="00E81772" w:rsidRDefault="00F96FEE" w:rsidP="00955C2A">
            <w:pPr>
              <w:spacing w:line="276" w:lineRule="auto"/>
              <w:rPr>
                <w:rFonts w:eastAsia="Times New Roman"/>
              </w:rPr>
            </w:pPr>
            <w:r>
              <w:rPr>
                <w:rFonts w:eastAsia="Times New Roman"/>
              </w:rPr>
              <w:t>Journalist</w:t>
            </w:r>
          </w:p>
        </w:tc>
        <w:tc>
          <w:tcPr>
            <w:tcW w:w="1353" w:type="dxa"/>
          </w:tcPr>
          <w:p w14:paraId="2589F509" w14:textId="77777777" w:rsidR="00F96FEE" w:rsidRPr="00E81772" w:rsidRDefault="00F96FEE" w:rsidP="00955C2A">
            <w:pPr>
              <w:rPr>
                <w:rFonts w:eastAsia="Times New Roman"/>
                <w:b/>
              </w:rPr>
            </w:pPr>
            <w:r>
              <w:rPr>
                <w:rFonts w:eastAsia="Times New Roman"/>
                <w:b/>
              </w:rPr>
              <w:t>Part granted</w:t>
            </w:r>
          </w:p>
        </w:tc>
      </w:tr>
      <w:tr w:rsidR="00F96FEE" w:rsidRPr="00E81772" w14:paraId="1960F2F5" w14:textId="77777777" w:rsidTr="00B642BE">
        <w:trPr>
          <w:trHeight w:val="1550"/>
        </w:trPr>
        <w:tc>
          <w:tcPr>
            <w:tcW w:w="1276" w:type="dxa"/>
          </w:tcPr>
          <w:p w14:paraId="6F03E4C0" w14:textId="210F0FBA" w:rsidR="00F96FEE" w:rsidRPr="00E81772" w:rsidRDefault="00F96FEE" w:rsidP="00955C2A">
            <w:pPr>
              <w:spacing w:line="276" w:lineRule="auto"/>
              <w:rPr>
                <w:rFonts w:eastAsia="Times New Roman"/>
                <w:b/>
              </w:rPr>
            </w:pPr>
            <w:r>
              <w:rPr>
                <w:rFonts w:eastAsia="Times New Roman"/>
                <w:b/>
              </w:rPr>
              <w:t>FOI 0024- 2025</w:t>
            </w:r>
          </w:p>
        </w:tc>
        <w:tc>
          <w:tcPr>
            <w:tcW w:w="1282" w:type="dxa"/>
          </w:tcPr>
          <w:p w14:paraId="036B8B58" w14:textId="16E90F76" w:rsidR="00F96FEE" w:rsidRDefault="00F96FEE" w:rsidP="00955C2A">
            <w:pPr>
              <w:spacing w:line="276" w:lineRule="auto"/>
              <w:rPr>
                <w:rFonts w:eastAsia="Times New Roman"/>
              </w:rPr>
            </w:pPr>
            <w:r>
              <w:rPr>
                <w:rFonts w:eastAsia="Times New Roman"/>
              </w:rPr>
              <w:t>2025.10.02</w:t>
            </w:r>
          </w:p>
        </w:tc>
        <w:tc>
          <w:tcPr>
            <w:tcW w:w="1447" w:type="dxa"/>
          </w:tcPr>
          <w:p w14:paraId="4FCD7088" w14:textId="2CA41D89" w:rsidR="00F96FEE" w:rsidRDefault="00F96FEE" w:rsidP="00955C2A">
            <w:pPr>
              <w:spacing w:line="276" w:lineRule="auto"/>
              <w:rPr>
                <w:rFonts w:eastAsia="Times New Roman"/>
                <w:b/>
              </w:rPr>
            </w:pPr>
            <w:r>
              <w:rPr>
                <w:rFonts w:eastAsia="Times New Roman"/>
                <w:b/>
              </w:rPr>
              <w:t>2025.11.03</w:t>
            </w:r>
          </w:p>
        </w:tc>
        <w:tc>
          <w:tcPr>
            <w:tcW w:w="1099" w:type="dxa"/>
          </w:tcPr>
          <w:p w14:paraId="1762E8C7" w14:textId="402F3E0B" w:rsidR="00F96FEE" w:rsidRPr="00E81772" w:rsidRDefault="00F96FEE" w:rsidP="00955C2A">
            <w:pPr>
              <w:spacing w:line="276" w:lineRule="auto"/>
              <w:rPr>
                <w:rFonts w:eastAsia="Times New Roman"/>
              </w:rPr>
            </w:pPr>
            <w:r>
              <w:rPr>
                <w:rFonts w:eastAsia="Times New Roman"/>
              </w:rPr>
              <w:t xml:space="preserve">Non-personal </w:t>
            </w:r>
          </w:p>
        </w:tc>
        <w:tc>
          <w:tcPr>
            <w:tcW w:w="8120" w:type="dxa"/>
          </w:tcPr>
          <w:p w14:paraId="6E8410ED" w14:textId="77777777" w:rsidR="00F96FEE" w:rsidRPr="00F96FEE" w:rsidRDefault="00F96FEE" w:rsidP="00F96FEE">
            <w:pPr>
              <w:rPr>
                <w:rFonts w:eastAsia="Aptos" w:cs="Aptos"/>
                <w:i/>
                <w:iCs/>
              </w:rPr>
            </w:pPr>
            <w:r w:rsidRPr="00F96FEE">
              <w:rPr>
                <w:rFonts w:eastAsia="Aptos" w:cs="Aptos"/>
              </w:rPr>
              <w:t>“</w:t>
            </w:r>
            <w:r w:rsidRPr="00F96FEE">
              <w:rPr>
                <w:rFonts w:eastAsia="Aptos" w:cs="Aptos"/>
                <w:i/>
                <w:iCs/>
              </w:rPr>
              <w:t>I am submitting an FOI request under the Act and I am seeking</w:t>
            </w:r>
          </w:p>
          <w:p w14:paraId="5B8A4F5A" w14:textId="77777777" w:rsidR="00F96FEE" w:rsidRPr="00F96FEE" w:rsidRDefault="00F96FEE" w:rsidP="00F96FEE">
            <w:pPr>
              <w:rPr>
                <w:rFonts w:eastAsia="Aptos" w:cs="Aptos"/>
                <w:i/>
                <w:iCs/>
              </w:rPr>
            </w:pPr>
            <w:r w:rsidRPr="00F96FEE">
              <w:rPr>
                <w:rFonts w:eastAsia="Aptos" w:cs="Aptos"/>
                <w:i/>
                <w:iCs/>
              </w:rPr>
              <w:t>all records in the IHREC discussing and considering the health impact of what are generally referred to as ' puberty blockers', administered to prepubescent boys as part of what is referred to as gender affirming care, since 28th July 2020 when the IHREC published an FOI Decision Letter - please see attached - in which I sought records regarding discussions about the use of these puberty blockers: the request was refused on the grounds there were no such records.</w:t>
            </w:r>
          </w:p>
          <w:p w14:paraId="64132841" w14:textId="0DF33013" w:rsidR="00F96FEE" w:rsidRPr="00F96FEE" w:rsidRDefault="00F96FEE" w:rsidP="00F96FEE">
            <w:pPr>
              <w:rPr>
                <w:rFonts w:eastAsia="Aptos" w:cs="Aptos"/>
                <w:i/>
                <w:iCs/>
              </w:rPr>
            </w:pPr>
            <w:r w:rsidRPr="00F96FEE">
              <w:rPr>
                <w:rFonts w:eastAsia="Aptos" w:cs="Aptos"/>
                <w:i/>
                <w:iCs/>
              </w:rPr>
              <w:t>I am also seeking any records in the Commission discussing and considering the Cass Review Final Report.</w:t>
            </w:r>
          </w:p>
          <w:p w14:paraId="4888C5D3" w14:textId="209F809C" w:rsidR="00F96FEE" w:rsidRPr="00F96FEE" w:rsidRDefault="00F96FEE" w:rsidP="00F96FEE">
            <w:pPr>
              <w:rPr>
                <w:rFonts w:eastAsia="Aptos" w:cs="Aptos"/>
              </w:rPr>
            </w:pPr>
          </w:p>
        </w:tc>
        <w:tc>
          <w:tcPr>
            <w:tcW w:w="1158" w:type="dxa"/>
          </w:tcPr>
          <w:p w14:paraId="421A1DF2" w14:textId="74A94AC7" w:rsidR="00F96FEE" w:rsidRDefault="00F96FEE" w:rsidP="00955C2A">
            <w:pPr>
              <w:spacing w:line="276" w:lineRule="auto"/>
              <w:rPr>
                <w:rFonts w:eastAsia="Times New Roman"/>
              </w:rPr>
            </w:pPr>
            <w:r>
              <w:rPr>
                <w:rFonts w:eastAsia="Times New Roman"/>
              </w:rPr>
              <w:t xml:space="preserve">Other </w:t>
            </w:r>
          </w:p>
        </w:tc>
        <w:tc>
          <w:tcPr>
            <w:tcW w:w="1353" w:type="dxa"/>
          </w:tcPr>
          <w:p w14:paraId="7EFBB523" w14:textId="2003B7F9" w:rsidR="00F96FEE" w:rsidRDefault="00F96FEE" w:rsidP="00955C2A">
            <w:pPr>
              <w:rPr>
                <w:rFonts w:eastAsia="Times New Roman"/>
                <w:b/>
              </w:rPr>
            </w:pPr>
            <w:r>
              <w:rPr>
                <w:rFonts w:eastAsia="Times New Roman"/>
                <w:b/>
              </w:rPr>
              <w:t xml:space="preserve">Part-granted </w:t>
            </w:r>
          </w:p>
        </w:tc>
      </w:tr>
      <w:tr w:rsidR="00F96FEE" w:rsidRPr="00E81772" w14:paraId="47767506" w14:textId="77777777" w:rsidTr="00B642BE">
        <w:trPr>
          <w:trHeight w:val="1550"/>
        </w:trPr>
        <w:tc>
          <w:tcPr>
            <w:tcW w:w="1276" w:type="dxa"/>
          </w:tcPr>
          <w:p w14:paraId="68C8D317" w14:textId="23898D2B" w:rsidR="00F96FEE" w:rsidRDefault="00F96FEE" w:rsidP="00955C2A">
            <w:pPr>
              <w:spacing w:line="276" w:lineRule="auto"/>
              <w:rPr>
                <w:rFonts w:eastAsia="Times New Roman"/>
                <w:b/>
              </w:rPr>
            </w:pPr>
            <w:r>
              <w:rPr>
                <w:rFonts w:eastAsia="Times New Roman"/>
                <w:b/>
              </w:rPr>
              <w:t>FOI 0025-2025</w:t>
            </w:r>
          </w:p>
        </w:tc>
        <w:tc>
          <w:tcPr>
            <w:tcW w:w="1282" w:type="dxa"/>
          </w:tcPr>
          <w:p w14:paraId="7B570EC4" w14:textId="227AFA2F" w:rsidR="00F96FEE" w:rsidRDefault="00F96FEE" w:rsidP="00955C2A">
            <w:pPr>
              <w:spacing w:line="276" w:lineRule="auto"/>
              <w:rPr>
                <w:rFonts w:eastAsia="Times New Roman"/>
              </w:rPr>
            </w:pPr>
            <w:r>
              <w:rPr>
                <w:rFonts w:eastAsia="Times New Roman"/>
              </w:rPr>
              <w:t>2025.10.20</w:t>
            </w:r>
          </w:p>
        </w:tc>
        <w:tc>
          <w:tcPr>
            <w:tcW w:w="1447" w:type="dxa"/>
          </w:tcPr>
          <w:p w14:paraId="55DE72B5" w14:textId="43A05AA9" w:rsidR="00F96FEE" w:rsidRDefault="00775925" w:rsidP="00955C2A">
            <w:pPr>
              <w:spacing w:line="276" w:lineRule="auto"/>
              <w:rPr>
                <w:rFonts w:eastAsia="Times New Roman"/>
                <w:b/>
              </w:rPr>
            </w:pPr>
            <w:r>
              <w:rPr>
                <w:rFonts w:eastAsia="Times New Roman"/>
                <w:b/>
              </w:rPr>
              <w:t>2025.11.18</w:t>
            </w:r>
          </w:p>
        </w:tc>
        <w:tc>
          <w:tcPr>
            <w:tcW w:w="1099" w:type="dxa"/>
          </w:tcPr>
          <w:p w14:paraId="51E36D2F" w14:textId="4472D954" w:rsidR="00F96FEE" w:rsidRDefault="00F96FEE" w:rsidP="00955C2A">
            <w:pPr>
              <w:spacing w:line="276" w:lineRule="auto"/>
              <w:rPr>
                <w:rFonts w:eastAsia="Times New Roman"/>
              </w:rPr>
            </w:pPr>
            <w:r>
              <w:rPr>
                <w:rFonts w:eastAsia="Times New Roman"/>
              </w:rPr>
              <w:t>Non-personal</w:t>
            </w:r>
          </w:p>
        </w:tc>
        <w:tc>
          <w:tcPr>
            <w:tcW w:w="8120" w:type="dxa"/>
          </w:tcPr>
          <w:p w14:paraId="20CD3B28" w14:textId="55FD24A7" w:rsidR="00F96FEE" w:rsidRPr="00F96FEE" w:rsidRDefault="00F96FEE" w:rsidP="00F96FEE">
            <w:pPr>
              <w:rPr>
                <w:rFonts w:eastAsia="Aptos" w:cs="Aptos"/>
                <w:i/>
                <w:iCs/>
              </w:rPr>
            </w:pPr>
            <w:r w:rsidRPr="00F96FEE">
              <w:rPr>
                <w:rFonts w:eastAsia="Aptos" w:cs="Aptos"/>
                <w:i/>
                <w:iCs/>
              </w:rPr>
              <w:t>-A copy of the most up-to-date tracker for the implementation of recommendations from audits;</w:t>
            </w:r>
          </w:p>
          <w:p w14:paraId="7C633F20" w14:textId="6B740A16" w:rsidR="00F96FEE" w:rsidRPr="00F96FEE" w:rsidRDefault="00F96FEE" w:rsidP="00F96FEE">
            <w:pPr>
              <w:rPr>
                <w:rFonts w:eastAsia="Aptos" w:cs="Aptos"/>
                <w:i/>
                <w:iCs/>
              </w:rPr>
            </w:pPr>
            <w:r w:rsidRPr="00F96FEE">
              <w:rPr>
                <w:rFonts w:eastAsia="Aptos" w:cs="Aptos"/>
                <w:i/>
                <w:iCs/>
              </w:rPr>
              <w:t>-A list of all audits carried out in the last two years to include the month and year of the audit and the overall assurance rating;</w:t>
            </w:r>
          </w:p>
          <w:p w14:paraId="1CE07F57" w14:textId="77777777" w:rsidR="00F96FEE" w:rsidRPr="00F96FEE" w:rsidRDefault="00F96FEE" w:rsidP="00F96FEE">
            <w:pPr>
              <w:rPr>
                <w:rFonts w:eastAsia="Aptos" w:cs="Aptos"/>
              </w:rPr>
            </w:pPr>
          </w:p>
        </w:tc>
        <w:tc>
          <w:tcPr>
            <w:tcW w:w="1158" w:type="dxa"/>
          </w:tcPr>
          <w:p w14:paraId="6B81E938" w14:textId="7065F443" w:rsidR="00F96FEE" w:rsidRPr="00FE3C5F" w:rsidRDefault="00F96FEE" w:rsidP="00955C2A">
            <w:pPr>
              <w:spacing w:line="276" w:lineRule="auto"/>
              <w:rPr>
                <w:rFonts w:eastAsia="Times New Roman"/>
              </w:rPr>
            </w:pPr>
            <w:r w:rsidRPr="00FE3C5F">
              <w:rPr>
                <w:rFonts w:eastAsia="Times New Roman"/>
              </w:rPr>
              <w:t>Journalist</w:t>
            </w:r>
          </w:p>
        </w:tc>
        <w:tc>
          <w:tcPr>
            <w:tcW w:w="1353" w:type="dxa"/>
          </w:tcPr>
          <w:p w14:paraId="71DD0785" w14:textId="0BAAEC91" w:rsidR="00F96FEE" w:rsidRPr="00FE3C5F" w:rsidRDefault="00A058A5" w:rsidP="00955C2A">
            <w:pPr>
              <w:rPr>
                <w:rFonts w:eastAsia="Times New Roman"/>
                <w:b/>
              </w:rPr>
            </w:pPr>
            <w:r w:rsidRPr="00FE3C5F">
              <w:rPr>
                <w:rFonts w:eastAsia="Times New Roman"/>
                <w:b/>
              </w:rPr>
              <w:t>Granted</w:t>
            </w:r>
          </w:p>
        </w:tc>
      </w:tr>
      <w:tr w:rsidR="00F96FEE" w:rsidRPr="00E81772" w14:paraId="47215C2C" w14:textId="77777777" w:rsidTr="00B642BE">
        <w:trPr>
          <w:trHeight w:val="1550"/>
        </w:trPr>
        <w:tc>
          <w:tcPr>
            <w:tcW w:w="1276" w:type="dxa"/>
          </w:tcPr>
          <w:p w14:paraId="5F71BA8B" w14:textId="6C3A58D6" w:rsidR="00F96FEE" w:rsidRDefault="00F96FEE" w:rsidP="00955C2A">
            <w:pPr>
              <w:spacing w:line="276" w:lineRule="auto"/>
              <w:rPr>
                <w:rFonts w:eastAsia="Times New Roman"/>
                <w:b/>
              </w:rPr>
            </w:pPr>
            <w:r>
              <w:rPr>
                <w:rFonts w:eastAsia="Times New Roman"/>
                <w:b/>
              </w:rPr>
              <w:lastRenderedPageBreak/>
              <w:t>FOI 0026-2025</w:t>
            </w:r>
          </w:p>
        </w:tc>
        <w:tc>
          <w:tcPr>
            <w:tcW w:w="1282" w:type="dxa"/>
          </w:tcPr>
          <w:p w14:paraId="290E558B" w14:textId="6C250B88" w:rsidR="00F96FEE" w:rsidRDefault="00F96FEE" w:rsidP="00955C2A">
            <w:pPr>
              <w:spacing w:line="276" w:lineRule="auto"/>
              <w:rPr>
                <w:rFonts w:eastAsia="Times New Roman"/>
              </w:rPr>
            </w:pPr>
            <w:r>
              <w:rPr>
                <w:rFonts w:eastAsia="Times New Roman"/>
              </w:rPr>
              <w:t>2025.11.03</w:t>
            </w:r>
          </w:p>
        </w:tc>
        <w:tc>
          <w:tcPr>
            <w:tcW w:w="1447" w:type="dxa"/>
          </w:tcPr>
          <w:p w14:paraId="25F47051" w14:textId="700E518A" w:rsidR="00F96FEE" w:rsidRDefault="00752150" w:rsidP="00955C2A">
            <w:pPr>
              <w:spacing w:line="276" w:lineRule="auto"/>
              <w:rPr>
                <w:rFonts w:eastAsia="Times New Roman"/>
                <w:b/>
              </w:rPr>
            </w:pPr>
            <w:r>
              <w:rPr>
                <w:rFonts w:eastAsia="Times New Roman"/>
                <w:b/>
              </w:rPr>
              <w:t>2015.11.28</w:t>
            </w:r>
          </w:p>
        </w:tc>
        <w:tc>
          <w:tcPr>
            <w:tcW w:w="1099" w:type="dxa"/>
          </w:tcPr>
          <w:p w14:paraId="2D859D75" w14:textId="2EB6FF0A" w:rsidR="00F96FEE" w:rsidRDefault="00F96FEE" w:rsidP="00955C2A">
            <w:pPr>
              <w:spacing w:line="276" w:lineRule="auto"/>
              <w:rPr>
                <w:rFonts w:eastAsia="Times New Roman"/>
              </w:rPr>
            </w:pPr>
            <w:r>
              <w:rPr>
                <w:rFonts w:eastAsia="Times New Roman"/>
              </w:rPr>
              <w:t xml:space="preserve">Non-personal </w:t>
            </w:r>
          </w:p>
        </w:tc>
        <w:tc>
          <w:tcPr>
            <w:tcW w:w="8120" w:type="dxa"/>
          </w:tcPr>
          <w:p w14:paraId="2DFAC7E0" w14:textId="77777777" w:rsidR="00F96FEE" w:rsidRPr="00F96FEE" w:rsidRDefault="00F96FEE" w:rsidP="00F96FEE">
            <w:pPr>
              <w:rPr>
                <w:rFonts w:eastAsia="Aptos" w:cs="Aptos"/>
                <w:i/>
                <w:iCs/>
              </w:rPr>
            </w:pPr>
            <w:r w:rsidRPr="00F96FEE">
              <w:rPr>
                <w:rFonts w:eastAsia="Aptos" w:cs="Aptos"/>
                <w:i/>
                <w:iCs/>
              </w:rPr>
              <w:t>- a spreadsheet/database/record of all formal or official complaints made to the IHREC in 2024 and Q1 and Q2 of 2025. This record to be anonymised but ideally to include the month of the complaint, a brief line description of the issue, and its current status e.g. upheld, resolved, rejected etc.</w:t>
            </w:r>
          </w:p>
          <w:p w14:paraId="79F656A9" w14:textId="29985D31" w:rsidR="00F96FEE" w:rsidRPr="00F96FEE" w:rsidRDefault="00F96FEE" w:rsidP="00F96FEE">
            <w:pPr>
              <w:rPr>
                <w:rFonts w:eastAsia="Aptos" w:cs="Aptos"/>
                <w:i/>
                <w:iCs/>
              </w:rPr>
            </w:pPr>
            <w:r w:rsidRPr="00F96FEE">
              <w:rPr>
                <w:rFonts w:eastAsia="Aptos" w:cs="Aptos"/>
                <w:i/>
                <w:iCs/>
              </w:rPr>
              <w:t>I would prefer to receive this information electronically, ideally in its original electronic format.</w:t>
            </w:r>
            <w:r w:rsidRPr="00F96FEE">
              <w:rPr>
                <w:rFonts w:eastAsia="Aptos" w:cs="Aptos"/>
                <w:i/>
                <w:iCs/>
              </w:rPr>
              <w:br/>
            </w:r>
          </w:p>
        </w:tc>
        <w:tc>
          <w:tcPr>
            <w:tcW w:w="1158" w:type="dxa"/>
          </w:tcPr>
          <w:p w14:paraId="7A678455" w14:textId="1175D36B" w:rsidR="00F96FEE" w:rsidRPr="00FE3C5F" w:rsidRDefault="00F96FEE" w:rsidP="00955C2A">
            <w:pPr>
              <w:spacing w:line="276" w:lineRule="auto"/>
              <w:rPr>
                <w:rFonts w:eastAsia="Times New Roman"/>
              </w:rPr>
            </w:pPr>
            <w:r w:rsidRPr="00FE3C5F">
              <w:rPr>
                <w:rFonts w:eastAsia="Times New Roman"/>
              </w:rPr>
              <w:t xml:space="preserve">Journalist </w:t>
            </w:r>
          </w:p>
        </w:tc>
        <w:tc>
          <w:tcPr>
            <w:tcW w:w="1353" w:type="dxa"/>
          </w:tcPr>
          <w:p w14:paraId="704CA34B" w14:textId="221AD939" w:rsidR="00F96FEE" w:rsidRPr="00FE3C5F" w:rsidRDefault="00020C9A" w:rsidP="00955C2A">
            <w:pPr>
              <w:rPr>
                <w:rFonts w:eastAsia="Times New Roman"/>
                <w:b/>
              </w:rPr>
            </w:pPr>
            <w:r w:rsidRPr="00FE3C5F">
              <w:rPr>
                <w:rFonts w:eastAsia="Times New Roman"/>
                <w:b/>
              </w:rPr>
              <w:t>Granted</w:t>
            </w:r>
          </w:p>
        </w:tc>
      </w:tr>
    </w:tbl>
    <w:p w14:paraId="261DDE09" w14:textId="77777777" w:rsidR="00F96FEE" w:rsidRDefault="00F96FEE"/>
    <w:sectPr w:rsidR="00F96FEE" w:rsidSect="00F96FEE">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0A7E" w14:textId="77777777" w:rsidR="009B273A" w:rsidRDefault="009B273A" w:rsidP="00F96FEE">
      <w:pPr>
        <w:spacing w:after="0" w:line="240" w:lineRule="auto"/>
      </w:pPr>
      <w:r>
        <w:separator/>
      </w:r>
    </w:p>
  </w:endnote>
  <w:endnote w:type="continuationSeparator" w:id="0">
    <w:p w14:paraId="0951FD80" w14:textId="77777777" w:rsidR="009B273A" w:rsidRDefault="009B273A" w:rsidP="00F9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415317"/>
      <w:docPartObj>
        <w:docPartGallery w:val="Page Numbers (Bottom of Page)"/>
        <w:docPartUnique/>
      </w:docPartObj>
    </w:sdtPr>
    <w:sdtContent>
      <w:sdt>
        <w:sdtPr>
          <w:id w:val="1728636285"/>
          <w:docPartObj>
            <w:docPartGallery w:val="Page Numbers (Top of Page)"/>
            <w:docPartUnique/>
          </w:docPartObj>
        </w:sdtPr>
        <w:sdtContent>
          <w:p w14:paraId="41A7BD50" w14:textId="084F9CF1" w:rsidR="00F96FEE" w:rsidRDefault="00F96FEE">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4E4D0C79" w14:textId="77777777" w:rsidR="00F96FEE" w:rsidRDefault="00F9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22A2" w14:textId="77777777" w:rsidR="009B273A" w:rsidRDefault="009B273A" w:rsidP="00F96FEE">
      <w:pPr>
        <w:spacing w:after="0" w:line="240" w:lineRule="auto"/>
      </w:pPr>
      <w:r>
        <w:separator/>
      </w:r>
    </w:p>
  </w:footnote>
  <w:footnote w:type="continuationSeparator" w:id="0">
    <w:p w14:paraId="1F076797" w14:textId="77777777" w:rsidR="009B273A" w:rsidRDefault="009B273A" w:rsidP="00F9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062A" w14:textId="3C0DAC21" w:rsidR="00F96FEE" w:rsidRDefault="00F96FEE">
    <w:pPr>
      <w:pStyle w:val="Header"/>
    </w:pPr>
    <w:r w:rsidRPr="00F96FEE">
      <w:rPr>
        <w:rFonts w:eastAsia="Times New Roman" w:cs="Times New Roman"/>
        <w:noProof/>
        <w:lang w:eastAsia="en-IE"/>
      </w:rPr>
      <w:drawing>
        <wp:anchor distT="0" distB="0" distL="114300" distR="114300" simplePos="0" relativeHeight="251659264" behindDoc="1" locked="0" layoutInCell="1" allowOverlap="1" wp14:anchorId="73913BD6" wp14:editId="1463BB8A">
          <wp:simplePos x="0" y="0"/>
          <wp:positionH relativeFrom="page">
            <wp:posOffset>-247650</wp:posOffset>
          </wp:positionH>
          <wp:positionV relativeFrom="page">
            <wp:posOffset>-370205</wp:posOffset>
          </wp:positionV>
          <wp:extent cx="7559675" cy="1617971"/>
          <wp:effectExtent l="0" t="0" r="0" b="0"/>
          <wp:wrapNone/>
          <wp:docPr id="3"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387"/>
    <w:multiLevelType w:val="multilevel"/>
    <w:tmpl w:val="C23A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221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EE"/>
    <w:rsid w:val="00020C9A"/>
    <w:rsid w:val="000765BB"/>
    <w:rsid w:val="000D2CE0"/>
    <w:rsid w:val="00123651"/>
    <w:rsid w:val="003442B5"/>
    <w:rsid w:val="0043063D"/>
    <w:rsid w:val="005F1387"/>
    <w:rsid w:val="00675C9C"/>
    <w:rsid w:val="00752150"/>
    <w:rsid w:val="00775925"/>
    <w:rsid w:val="0078403C"/>
    <w:rsid w:val="00785157"/>
    <w:rsid w:val="00811FB6"/>
    <w:rsid w:val="00922CA0"/>
    <w:rsid w:val="0094247B"/>
    <w:rsid w:val="009830A9"/>
    <w:rsid w:val="009B273A"/>
    <w:rsid w:val="00A058A5"/>
    <w:rsid w:val="00B642BE"/>
    <w:rsid w:val="00B7452C"/>
    <w:rsid w:val="00B745A5"/>
    <w:rsid w:val="00C070CF"/>
    <w:rsid w:val="00C53542"/>
    <w:rsid w:val="00C53C3C"/>
    <w:rsid w:val="00D34AFC"/>
    <w:rsid w:val="00D8412A"/>
    <w:rsid w:val="00E32C67"/>
    <w:rsid w:val="00F96FEE"/>
    <w:rsid w:val="00FB648D"/>
    <w:rsid w:val="00FE3C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7F4"/>
  <w15:chartTrackingRefBased/>
  <w15:docId w15:val="{2BC1B344-DE78-4406-87AC-3A606B2D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EE"/>
    <w:pPr>
      <w:spacing w:line="259" w:lineRule="auto"/>
    </w:pPr>
    <w:rPr>
      <w:rFonts w:ascii="Aptos" w:hAnsi="Aptos"/>
    </w:rPr>
  </w:style>
  <w:style w:type="paragraph" w:styleId="Heading1">
    <w:name w:val="heading 1"/>
    <w:basedOn w:val="Normal"/>
    <w:next w:val="Normal"/>
    <w:link w:val="Heading1Char"/>
    <w:uiPriority w:val="9"/>
    <w:qFormat/>
    <w:rsid w:val="00F96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FEE"/>
    <w:rPr>
      <w:rFonts w:eastAsiaTheme="majorEastAsia" w:cstheme="majorBidi"/>
      <w:color w:val="272727" w:themeColor="text1" w:themeTint="D8"/>
    </w:rPr>
  </w:style>
  <w:style w:type="paragraph" w:styleId="Title">
    <w:name w:val="Title"/>
    <w:basedOn w:val="Normal"/>
    <w:next w:val="Normal"/>
    <w:link w:val="TitleChar"/>
    <w:uiPriority w:val="10"/>
    <w:qFormat/>
    <w:rsid w:val="00F96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FEE"/>
    <w:pPr>
      <w:spacing w:before="160"/>
      <w:jc w:val="center"/>
    </w:pPr>
    <w:rPr>
      <w:i/>
      <w:iCs/>
      <w:color w:val="404040" w:themeColor="text1" w:themeTint="BF"/>
    </w:rPr>
  </w:style>
  <w:style w:type="character" w:customStyle="1" w:styleId="QuoteChar">
    <w:name w:val="Quote Char"/>
    <w:basedOn w:val="DefaultParagraphFont"/>
    <w:link w:val="Quote"/>
    <w:uiPriority w:val="29"/>
    <w:rsid w:val="00F96FEE"/>
    <w:rPr>
      <w:i/>
      <w:iCs/>
      <w:color w:val="404040" w:themeColor="text1" w:themeTint="BF"/>
    </w:rPr>
  </w:style>
  <w:style w:type="paragraph" w:styleId="ListParagraph">
    <w:name w:val="List Paragraph"/>
    <w:basedOn w:val="Normal"/>
    <w:uiPriority w:val="34"/>
    <w:qFormat/>
    <w:rsid w:val="00F96FEE"/>
    <w:pPr>
      <w:ind w:left="720"/>
      <w:contextualSpacing/>
    </w:pPr>
  </w:style>
  <w:style w:type="character" w:styleId="IntenseEmphasis">
    <w:name w:val="Intense Emphasis"/>
    <w:basedOn w:val="DefaultParagraphFont"/>
    <w:uiPriority w:val="21"/>
    <w:qFormat/>
    <w:rsid w:val="00F96FEE"/>
    <w:rPr>
      <w:i/>
      <w:iCs/>
      <w:color w:val="0F4761" w:themeColor="accent1" w:themeShade="BF"/>
    </w:rPr>
  </w:style>
  <w:style w:type="paragraph" w:styleId="IntenseQuote">
    <w:name w:val="Intense Quote"/>
    <w:basedOn w:val="Normal"/>
    <w:next w:val="Normal"/>
    <w:link w:val="IntenseQuoteChar"/>
    <w:uiPriority w:val="30"/>
    <w:qFormat/>
    <w:rsid w:val="00F96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FEE"/>
    <w:rPr>
      <w:i/>
      <w:iCs/>
      <w:color w:val="0F4761" w:themeColor="accent1" w:themeShade="BF"/>
    </w:rPr>
  </w:style>
  <w:style w:type="character" w:styleId="IntenseReference">
    <w:name w:val="Intense Reference"/>
    <w:basedOn w:val="DefaultParagraphFont"/>
    <w:uiPriority w:val="32"/>
    <w:qFormat/>
    <w:rsid w:val="00F96FEE"/>
    <w:rPr>
      <w:b/>
      <w:bCs/>
      <w:smallCaps/>
      <w:color w:val="0F4761" w:themeColor="accent1" w:themeShade="BF"/>
      <w:spacing w:val="5"/>
    </w:rPr>
  </w:style>
  <w:style w:type="table" w:customStyle="1" w:styleId="TableGridLight1">
    <w:name w:val="Table Grid Light1"/>
    <w:basedOn w:val="TableNormal"/>
    <w:next w:val="TableGridLight"/>
    <w:uiPriority w:val="40"/>
    <w:rsid w:val="00F96FEE"/>
    <w:pPr>
      <w:spacing w:after="0" w:line="240" w:lineRule="auto"/>
    </w:pPr>
    <w:rPr>
      <w:rFonts w:ascii="Calibri" w:eastAsia="Calibri" w:hAnsi="Calibri" w:cs="Times New Roman"/>
      <w:kern w:val="0"/>
      <w:sz w:val="20"/>
      <w:szCs w:val="20"/>
      <w:lang w:eastAsia="en-IE"/>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96F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96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FEE"/>
    <w:rPr>
      <w:rFonts w:ascii="Aptos" w:hAnsi="Aptos"/>
    </w:rPr>
  </w:style>
  <w:style w:type="paragraph" w:styleId="Footer">
    <w:name w:val="footer"/>
    <w:basedOn w:val="Normal"/>
    <w:link w:val="FooterChar"/>
    <w:uiPriority w:val="99"/>
    <w:unhideWhenUsed/>
    <w:rsid w:val="00F96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FEE"/>
    <w:rPr>
      <w:rFonts w:ascii="Aptos" w:hAnsi="Aptos"/>
    </w:rPr>
  </w:style>
  <w:style w:type="paragraph" w:styleId="Revision">
    <w:name w:val="Revision"/>
    <w:hidden/>
    <w:uiPriority w:val="99"/>
    <w:semiHidden/>
    <w:rsid w:val="00C070CF"/>
    <w:pPr>
      <w:spacing w:after="0" w:line="240" w:lineRule="auto"/>
    </w:pPr>
    <w:rPr>
      <w:rFonts w:ascii="Aptos" w:hAnsi="Aptos"/>
    </w:rPr>
  </w:style>
  <w:style w:type="character" w:styleId="CommentReference">
    <w:name w:val="annotation reference"/>
    <w:basedOn w:val="DefaultParagraphFont"/>
    <w:uiPriority w:val="99"/>
    <w:semiHidden/>
    <w:unhideWhenUsed/>
    <w:rsid w:val="00811FB6"/>
    <w:rPr>
      <w:sz w:val="16"/>
      <w:szCs w:val="16"/>
    </w:rPr>
  </w:style>
  <w:style w:type="paragraph" w:styleId="CommentText">
    <w:name w:val="annotation text"/>
    <w:basedOn w:val="Normal"/>
    <w:link w:val="CommentTextChar"/>
    <w:uiPriority w:val="99"/>
    <w:unhideWhenUsed/>
    <w:rsid w:val="00811FB6"/>
    <w:pPr>
      <w:spacing w:line="240" w:lineRule="auto"/>
    </w:pPr>
    <w:rPr>
      <w:sz w:val="20"/>
      <w:szCs w:val="20"/>
    </w:rPr>
  </w:style>
  <w:style w:type="character" w:customStyle="1" w:styleId="CommentTextChar">
    <w:name w:val="Comment Text Char"/>
    <w:basedOn w:val="DefaultParagraphFont"/>
    <w:link w:val="CommentText"/>
    <w:uiPriority w:val="99"/>
    <w:rsid w:val="00811FB6"/>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811FB6"/>
    <w:rPr>
      <w:b/>
      <w:bCs/>
    </w:rPr>
  </w:style>
  <w:style w:type="character" w:customStyle="1" w:styleId="CommentSubjectChar">
    <w:name w:val="Comment Subject Char"/>
    <w:basedOn w:val="CommentTextChar"/>
    <w:link w:val="CommentSubject"/>
    <w:uiPriority w:val="99"/>
    <w:semiHidden/>
    <w:rsid w:val="00811FB6"/>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716">
      <w:bodyDiv w:val="1"/>
      <w:marLeft w:val="0"/>
      <w:marRight w:val="0"/>
      <w:marTop w:val="0"/>
      <w:marBottom w:val="0"/>
      <w:divBdr>
        <w:top w:val="none" w:sz="0" w:space="0" w:color="auto"/>
        <w:left w:val="none" w:sz="0" w:space="0" w:color="auto"/>
        <w:bottom w:val="none" w:sz="0" w:space="0" w:color="auto"/>
        <w:right w:val="none" w:sz="0" w:space="0" w:color="auto"/>
      </w:divBdr>
    </w:div>
    <w:div w:id="241450386">
      <w:bodyDiv w:val="1"/>
      <w:marLeft w:val="0"/>
      <w:marRight w:val="0"/>
      <w:marTop w:val="0"/>
      <w:marBottom w:val="0"/>
      <w:divBdr>
        <w:top w:val="none" w:sz="0" w:space="0" w:color="auto"/>
        <w:left w:val="none" w:sz="0" w:space="0" w:color="auto"/>
        <w:bottom w:val="none" w:sz="0" w:space="0" w:color="auto"/>
        <w:right w:val="none" w:sz="0" w:space="0" w:color="auto"/>
      </w:divBdr>
    </w:div>
    <w:div w:id="288433817">
      <w:bodyDiv w:val="1"/>
      <w:marLeft w:val="0"/>
      <w:marRight w:val="0"/>
      <w:marTop w:val="0"/>
      <w:marBottom w:val="0"/>
      <w:divBdr>
        <w:top w:val="none" w:sz="0" w:space="0" w:color="auto"/>
        <w:left w:val="none" w:sz="0" w:space="0" w:color="auto"/>
        <w:bottom w:val="none" w:sz="0" w:space="0" w:color="auto"/>
        <w:right w:val="none" w:sz="0" w:space="0" w:color="auto"/>
      </w:divBdr>
    </w:div>
    <w:div w:id="634526467">
      <w:bodyDiv w:val="1"/>
      <w:marLeft w:val="0"/>
      <w:marRight w:val="0"/>
      <w:marTop w:val="0"/>
      <w:marBottom w:val="0"/>
      <w:divBdr>
        <w:top w:val="none" w:sz="0" w:space="0" w:color="auto"/>
        <w:left w:val="none" w:sz="0" w:space="0" w:color="auto"/>
        <w:bottom w:val="none" w:sz="0" w:space="0" w:color="auto"/>
        <w:right w:val="none" w:sz="0" w:space="0" w:color="auto"/>
      </w:divBdr>
    </w:div>
    <w:div w:id="803621297">
      <w:bodyDiv w:val="1"/>
      <w:marLeft w:val="0"/>
      <w:marRight w:val="0"/>
      <w:marTop w:val="0"/>
      <w:marBottom w:val="0"/>
      <w:divBdr>
        <w:top w:val="none" w:sz="0" w:space="0" w:color="auto"/>
        <w:left w:val="none" w:sz="0" w:space="0" w:color="auto"/>
        <w:bottom w:val="none" w:sz="0" w:space="0" w:color="auto"/>
        <w:right w:val="none" w:sz="0" w:space="0" w:color="auto"/>
      </w:divBdr>
    </w:div>
    <w:div w:id="1606767339">
      <w:bodyDiv w:val="1"/>
      <w:marLeft w:val="0"/>
      <w:marRight w:val="0"/>
      <w:marTop w:val="0"/>
      <w:marBottom w:val="0"/>
      <w:divBdr>
        <w:top w:val="none" w:sz="0" w:space="0" w:color="auto"/>
        <w:left w:val="none" w:sz="0" w:space="0" w:color="auto"/>
        <w:bottom w:val="none" w:sz="0" w:space="0" w:color="auto"/>
        <w:right w:val="none" w:sz="0" w:space="0" w:color="auto"/>
      </w:divBdr>
    </w:div>
    <w:div w:id="1937787347">
      <w:bodyDiv w:val="1"/>
      <w:marLeft w:val="0"/>
      <w:marRight w:val="0"/>
      <w:marTop w:val="0"/>
      <w:marBottom w:val="0"/>
      <w:divBdr>
        <w:top w:val="none" w:sz="0" w:space="0" w:color="auto"/>
        <w:left w:val="none" w:sz="0" w:space="0" w:color="auto"/>
        <w:bottom w:val="none" w:sz="0" w:space="0" w:color="auto"/>
        <w:right w:val="none" w:sz="0" w:space="0" w:color="auto"/>
      </w:divBdr>
    </w:div>
    <w:div w:id="20075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baa881fc4ae443f9fdafbdd527793df xmlns="77c07868-e6fa-46de-a3b4-b3297e3adc0f">
      <Terms xmlns="http://schemas.microsoft.com/office/infopath/2007/PartnerControls"/>
    </fbaa881fc4ae443f9fdafbdd527793df>
    <nb1b8a72855341e18dd75ce464e281f2 xmlns="77c07868-e6fa-46de-a3b4-b3297e3adc0f">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361998a6-9909-41e8-990f-c87740b27764</TermId>
        </TermInfo>
      </Terms>
    </nb1b8a72855341e18dd75ce464e281f2>
    <_vti_ItemDeclaredRecord xmlns="77c07868-e6fa-46de-a3b4-b3297e3adc0f" xsi:nil="true"/>
    <h1f8bb4843d6459a8b809123185593c7 xmlns="77c07868-e6fa-46de-a3b4-b3297e3adc0f">
      <Terms xmlns="http://schemas.microsoft.com/office/infopath/2007/PartnerControls">
        <TermInfo xmlns="http://schemas.microsoft.com/office/infopath/2007/PartnerControls">
          <TermName xmlns="http://schemas.microsoft.com/office/infopath/2007/PartnerControls">028</TermName>
          <TermId xmlns="http://schemas.microsoft.com/office/infopath/2007/PartnerControls">8e94cf1d-0856-4c7c-81d2-37f4ae0fee2a</TermId>
        </TermInfo>
      </Terms>
    </h1f8bb4843d6459a8b809123185593c7>
    <TaxCatchAll xmlns="77c07868-e6fa-46de-a3b4-b3297e3adc0f">
      <Value>6</Value>
      <Value>5</Value>
      <Value>4</Value>
      <Value>3</Value>
      <Value>2</Value>
      <Value>1</Value>
    </TaxCatchAll>
    <m02c691f3efa402dab5cbaa8c240a9e7 xmlns="77c07868-e6fa-46de-a3b4-b3297e3adc0f">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bd982dcd-430b-41ed-84ea-a31df91367b4</TermId>
        </TermInfo>
        <TermInfo xmlns="http://schemas.microsoft.com/office/infopath/2007/PartnerControls">
          <TermName xmlns="http://schemas.microsoft.com/office/infopath/2007/PartnerControls">#Freedom</TermName>
          <TermId xmlns="http://schemas.microsoft.com/office/infopath/2007/PartnerControls">f2343e9b-2215-47e0-9524-dfcc4c2d5aac</TermId>
        </TermInfo>
        <TermInfo xmlns="http://schemas.microsoft.com/office/infopath/2007/PartnerControls">
          <TermName xmlns="http://schemas.microsoft.com/office/infopath/2007/PartnerControls">#Admin</TermName>
          <TermId xmlns="http://schemas.microsoft.com/office/infopath/2007/PartnerControls">902674be-21e5-40a9-9ad3-ab51bc743f75</TermId>
        </TermInfo>
      </Terms>
    </m02c691f3efa402dab5cbaa8c240a9e7>
    <mbbd3fafa5ab4e5eb8a6a5e099cef439 xmlns="77c07868-e6fa-46de-a3b4-b3297e3adc0f">
      <Terms xmlns="http://schemas.microsoft.com/office/infopath/2007/PartnerControls">
        <TermInfo xmlns="http://schemas.microsoft.com/office/infopath/2007/PartnerControls">
          <TermName xmlns="http://schemas.microsoft.com/office/infopath/2007/PartnerControls">Classified</TermName>
          <TermId xmlns="http://schemas.microsoft.com/office/infopath/2007/PartnerControls">2beab884-a7b3-4071-a1f2-71fc09524b3b</TermId>
        </TermInfo>
      </Terms>
    </mbbd3fafa5ab4e5eb8a6a5e099cef439>
    <eDocs_eFileName xmlns="77c07868-e6fa-46de-a3b4-b3297e3adc0f">IHREC028-006-2025</eDocs_eFileName>
    <eDocs_FileStatus xmlns="77c07868-e6fa-46de-a3b4-b3297e3adc0f">Live</eDocs_FileStatus>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94E0FCDAF3A364AAB87D15A9E3FF4AD" ma:contentTypeVersion="55" ma:contentTypeDescription="" ma:contentTypeScope="" ma:versionID="72a1c7560b78b77e572e1ece1451fa0e">
  <xsd:schema xmlns:xsd="http://www.w3.org/2001/XMLSchema" xmlns:xs="http://www.w3.org/2001/XMLSchema" xmlns:p="http://schemas.microsoft.com/office/2006/metadata/properties" xmlns:ns2="77c07868-e6fa-46de-a3b4-b3297e3adc0f" targetNamespace="http://schemas.microsoft.com/office/2006/metadata/properties" ma:root="true" ma:fieldsID="4af4f11a0b2d5cd705aafd7368c56591" ns2:_="">
    <xsd:import namespace="77c07868-e6fa-46de-a3b4-b3297e3adc0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07868-e6fa-46de-a3b4-b3297e3adc0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05a8163-f661-412c-bbe0-71a1fa308a40}" ma:internalName="TaxCatchAll" ma:showField="CatchAllData" ma:web="77c07868-e6fa-46de-a3b4-b3297e3adc0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05a8163-f661-412c-bbe0-71a1fa308a40}" ma:internalName="TaxCatchAllLabel" ma:readOnly="true" ma:showField="CatchAllDataLabel" ma:web="77c07868-e6fa-46de-a3b4-b3297e3adc0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8|8e94cf1d-0856-4c7c-81d2-37f4ae0fee2a"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806D3-17FA-4E17-B54B-581AD74178B9}">
  <ds:schemaRefs>
    <ds:schemaRef ds:uri="http://schemas.microsoft.com/office/2006/metadata/properties"/>
    <ds:schemaRef ds:uri="http://schemas.microsoft.com/office/infopath/2007/PartnerControls"/>
    <ds:schemaRef ds:uri="77c07868-e6fa-46de-a3b4-b3297e3adc0f"/>
  </ds:schemaRefs>
</ds:datastoreItem>
</file>

<file path=customXml/itemProps2.xml><?xml version="1.0" encoding="utf-8"?>
<ds:datastoreItem xmlns:ds="http://schemas.openxmlformats.org/officeDocument/2006/customXml" ds:itemID="{B252320C-6C21-4681-AFE4-93E6D6C3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07868-e6fa-46de-a3b4-b3297e3a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B2056-DE37-4256-BCC9-F133FAE52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Finnegan (IHREC)</dc:creator>
  <cp:keywords/>
  <dc:description/>
  <cp:lastModifiedBy>Tatjana Coj (IHREC)</cp:lastModifiedBy>
  <cp:revision>2</cp:revision>
  <dcterms:created xsi:type="dcterms:W3CDTF">2026-05-19T13:23:00Z</dcterms:created>
  <dcterms:modified xsi:type="dcterms:W3CDTF">2026-05-19T13:23:00Z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0x0101000BC94875665D404BB1351B53C41FD2C000E94E0FCDAF3A364AAB87D15A9E3FF4AD</vt:lpwstr>
  </property>
  <property fmtid="{D5CDD505-2E9C-101B-9397-08002B2CF9AE}" pid="3" name="eDocs_FileTopics">
    <vt:lpwstr>3;#FOI|bd982dcd-430b-41ed-84ea-a31df91367b4;#4;##Freedom|f2343e9b-2215-47e0-9524-dfcc4c2d5aac;#5;##Admin|902674be-21e5-40a9-9ad3-ab51bc743f75</vt:lpwstr>
  </property>
  <property fmtid="{D5CDD505-2E9C-101B-9397-08002B2CF9AE}" pid="4" name="eDocs_SecurityClassification">
    <vt:lpwstr>6;#Classified|2beab884-a7b3-4071-a1f2-71fc09524b3b</vt:lpwstr>
  </property>
  <property fmtid="{D5CDD505-2E9C-101B-9397-08002B2CF9AE}" pid="5" name="eDocs_Series">
    <vt:lpwstr>1;#028|8e94cf1d-0856-4c7c-81d2-37f4ae0fee2a</vt:lpwstr>
  </property>
  <property fmtid="{D5CDD505-2E9C-101B-9397-08002B2CF9AE}" pid="6" name="eDocs_DocumentTopics">
    <vt:lpwstr/>
  </property>
  <property fmtid="{D5CDD505-2E9C-101B-9397-08002B2CF9AE}" pid="7" name="eDocs_Year">
    <vt:lpwstr>2;#2025|361998a6-9909-41e8-990f-c87740b27764</vt:lpwstr>
  </property>
  <property fmtid="{D5CDD505-2E9C-101B-9397-08002B2CF9AE}" pid="8" name="ge25f6a3ef6f42d4865685f2a74bf8c7">
    <vt:lpwstr/>
  </property>
  <property fmtid="{D5CDD505-2E9C-101B-9397-08002B2CF9AE}" pid="9" name="eDocs_RetentionPeriodTerm">
    <vt:lpwstr/>
  </property>
</Properties>
</file>